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30EA5" w14:textId="77777777" w:rsidR="00345850" w:rsidRPr="00B461D4" w:rsidRDefault="00B461D4" w:rsidP="00B461D4">
      <w:pPr>
        <w:jc w:val="center"/>
        <w:rPr>
          <w:b/>
          <w:sz w:val="28"/>
          <w:szCs w:val="28"/>
        </w:rPr>
      </w:pPr>
      <w:r w:rsidRPr="00B461D4">
        <w:rPr>
          <w:b/>
          <w:sz w:val="28"/>
          <w:szCs w:val="28"/>
        </w:rPr>
        <w:t>Interoperability Requirements</w:t>
      </w:r>
    </w:p>
    <w:p w14:paraId="5AB30EA6" w14:textId="77777777" w:rsidR="00B461D4" w:rsidRPr="00B461D4" w:rsidRDefault="00B461D4"/>
    <w:p w14:paraId="5AB30EA7" w14:textId="6A4E72D0" w:rsidR="00B461D4" w:rsidRDefault="00B461D4" w:rsidP="00B1517F">
      <w:pPr>
        <w:spacing w:after="120"/>
        <w:jc w:val="both"/>
      </w:pPr>
      <w:r w:rsidRPr="00B461D4">
        <w:t>All ATM</w:t>
      </w:r>
      <w:r>
        <w:t xml:space="preserve"> Systems and Equipment operated by HungaroControl Pte. Ltd. Co. has to comply with the applicable interoperability </w:t>
      </w:r>
      <w:r w:rsidR="00542E56">
        <w:t xml:space="preserve">regulations </w:t>
      </w:r>
      <w:r>
        <w:t xml:space="preserve">of the European Union. Therefore the following requirements </w:t>
      </w:r>
      <w:r w:rsidRPr="00B1517F">
        <w:rPr>
          <w:b/>
        </w:rPr>
        <w:t>shall</w:t>
      </w:r>
      <w:r w:rsidR="000D359B">
        <w:t xml:space="preserve"> be fulfilled:</w:t>
      </w:r>
    </w:p>
    <w:p w14:paraId="5AB30EA8" w14:textId="77777777" w:rsidR="00B461D4" w:rsidRPr="00B461D4" w:rsidRDefault="00B461D4" w:rsidP="00B751AB">
      <w:pPr>
        <w:pStyle w:val="Listaszerbekezds"/>
        <w:numPr>
          <w:ilvl w:val="0"/>
          <w:numId w:val="1"/>
        </w:numPr>
        <w:spacing w:after="120"/>
        <w:ind w:left="426" w:hanging="426"/>
        <w:contextualSpacing w:val="0"/>
        <w:jc w:val="both"/>
        <w:rPr>
          <w:bCs/>
        </w:rPr>
      </w:pPr>
      <w:r w:rsidRPr="00B461D4">
        <w:rPr>
          <w:bCs/>
        </w:rPr>
        <w:t>Tenderer/</w:t>
      </w:r>
      <w:r>
        <w:rPr>
          <w:bCs/>
        </w:rPr>
        <w:t>Supplier</w:t>
      </w:r>
      <w:r w:rsidRPr="00B461D4">
        <w:rPr>
          <w:bCs/>
        </w:rPr>
        <w:t xml:space="preserve"> </w:t>
      </w:r>
      <w:r w:rsidRPr="00B1517F">
        <w:rPr>
          <w:b/>
          <w:bCs/>
        </w:rPr>
        <w:t>shall</w:t>
      </w:r>
      <w:r w:rsidRPr="00B461D4">
        <w:rPr>
          <w:bCs/>
        </w:rPr>
        <w:t xml:space="preserve"> deliver to the Customer</w:t>
      </w:r>
      <w:r>
        <w:rPr>
          <w:bCs/>
        </w:rPr>
        <w:t xml:space="preserve"> a</w:t>
      </w:r>
      <w:r w:rsidRPr="00B461D4">
        <w:rPr>
          <w:bCs/>
        </w:rPr>
        <w:t xml:space="preserve"> </w:t>
      </w:r>
      <w:r w:rsidRPr="00B1517F">
        <w:rPr>
          <w:bCs/>
          <w:i/>
        </w:rPr>
        <w:t>Declaration of Conformity (DoC)</w:t>
      </w:r>
      <w:r w:rsidRPr="00B461D4">
        <w:rPr>
          <w:bCs/>
        </w:rPr>
        <w:t xml:space="preserve"> or </w:t>
      </w:r>
      <w:r w:rsidRPr="00B1517F">
        <w:rPr>
          <w:bCs/>
          <w:i/>
        </w:rPr>
        <w:t>Declaration of Suitability for Use (DSU)</w:t>
      </w:r>
      <w:r w:rsidRPr="00B461D4">
        <w:rPr>
          <w:bCs/>
        </w:rPr>
        <w:t xml:space="preserve"> according to the Article 5 of REGULATION (EC) No 552/2004 OF THE EUROPEAN PARLIAMENT AND OF THE COUNCIL of 10 March 2004 on the interoperability of the European Air Traffic Management network (</w:t>
      </w:r>
      <w:r w:rsidR="00B1517F">
        <w:rPr>
          <w:bCs/>
        </w:rPr>
        <w:t>hereinafter referred to as “I</w:t>
      </w:r>
      <w:r w:rsidRPr="00B461D4">
        <w:rPr>
          <w:bCs/>
        </w:rPr>
        <w:t>nteroperability Regulation</w:t>
      </w:r>
      <w:r w:rsidR="00B1517F">
        <w:rPr>
          <w:bCs/>
        </w:rPr>
        <w:t>”</w:t>
      </w:r>
      <w:r w:rsidRPr="00B461D4">
        <w:rPr>
          <w:bCs/>
        </w:rPr>
        <w:t>) for the EATMN constituents to be delivered.</w:t>
      </w:r>
    </w:p>
    <w:p w14:paraId="5AB30EA9" w14:textId="77777777" w:rsidR="00B461D4" w:rsidRPr="00B1517F" w:rsidRDefault="00B461D4" w:rsidP="00B751AB">
      <w:pPr>
        <w:pStyle w:val="Listaszerbekezds"/>
        <w:numPr>
          <w:ilvl w:val="0"/>
          <w:numId w:val="1"/>
        </w:numPr>
        <w:spacing w:after="120"/>
        <w:ind w:left="426" w:hanging="426"/>
        <w:contextualSpacing w:val="0"/>
        <w:jc w:val="both"/>
        <w:rPr>
          <w:bCs/>
        </w:rPr>
      </w:pPr>
      <w:r w:rsidRPr="00B1517F">
        <w:rPr>
          <w:bCs/>
        </w:rPr>
        <w:t xml:space="preserve">In case for constituents to be delivered </w:t>
      </w:r>
      <w:r w:rsidRPr="00B1517F">
        <w:rPr>
          <w:bCs/>
          <w:i/>
        </w:rPr>
        <w:t>European standards</w:t>
      </w:r>
      <w:r w:rsidRPr="00B1517F">
        <w:rPr>
          <w:bCs/>
        </w:rPr>
        <w:t xml:space="preserve"> drawn up by the European standardisation bodies or specifications drawn up by Eurocontrol exist and established as </w:t>
      </w:r>
      <w:r w:rsidRPr="00B1517F">
        <w:rPr>
          <w:bCs/>
          <w:i/>
        </w:rPr>
        <w:t>Community Specifications (CS)</w:t>
      </w:r>
      <w:r w:rsidRPr="00B1517F">
        <w:rPr>
          <w:bCs/>
        </w:rPr>
        <w:t xml:space="preserve"> published in the Official Journal of the European Union and the requirements contained in such CS have been applied to the constituents for conformity with general and specific essential requirements listed in ANNEX II Part A and Part B of the </w:t>
      </w:r>
      <w:r w:rsidR="00B1517F">
        <w:rPr>
          <w:bCs/>
        </w:rPr>
        <w:t>I</w:t>
      </w:r>
      <w:r w:rsidRPr="00B1517F">
        <w:rPr>
          <w:bCs/>
        </w:rPr>
        <w:t xml:space="preserve">nteroperability Regulation and specific requirements contained in the relevant implementing rules for interoperability (if any) then a </w:t>
      </w:r>
      <w:r w:rsidRPr="00B1517F">
        <w:rPr>
          <w:bCs/>
          <w:i/>
        </w:rPr>
        <w:t>Declaration of Conformity (DoC)</w:t>
      </w:r>
      <w:r w:rsidRPr="00B1517F">
        <w:rPr>
          <w:bCs/>
        </w:rPr>
        <w:t xml:space="preserve"> </w:t>
      </w:r>
      <w:r w:rsidRPr="00B1517F">
        <w:rPr>
          <w:b/>
          <w:bCs/>
        </w:rPr>
        <w:t>shall</w:t>
      </w:r>
      <w:r w:rsidRPr="00B1517F">
        <w:rPr>
          <w:bCs/>
        </w:rPr>
        <w:t xml:space="preserve"> be delivered by the Tenderer/Supplier.</w:t>
      </w:r>
    </w:p>
    <w:p w14:paraId="5AB30EAA" w14:textId="2BEC34B6" w:rsidR="00B461D4" w:rsidRPr="00B1517F" w:rsidRDefault="00B461D4" w:rsidP="00B751AB">
      <w:pPr>
        <w:pStyle w:val="Listaszerbekezds"/>
        <w:numPr>
          <w:ilvl w:val="0"/>
          <w:numId w:val="1"/>
        </w:numPr>
        <w:spacing w:after="120"/>
        <w:ind w:left="426" w:hanging="426"/>
        <w:contextualSpacing w:val="0"/>
        <w:jc w:val="both"/>
        <w:rPr>
          <w:bCs/>
        </w:rPr>
      </w:pPr>
      <w:r w:rsidRPr="00B1517F">
        <w:rPr>
          <w:bCs/>
        </w:rPr>
        <w:t xml:space="preserve">The </w:t>
      </w:r>
      <w:r w:rsidRPr="00B1517F">
        <w:rPr>
          <w:bCs/>
          <w:i/>
        </w:rPr>
        <w:t>Declaration of Conformity (DoC)</w:t>
      </w:r>
      <w:r w:rsidRPr="00B1517F">
        <w:rPr>
          <w:bCs/>
        </w:rPr>
        <w:t xml:space="preserve"> or </w:t>
      </w:r>
      <w:r w:rsidRPr="00B1517F">
        <w:rPr>
          <w:bCs/>
          <w:i/>
        </w:rPr>
        <w:t>Declaration of Suitability for Use (DSU)</w:t>
      </w:r>
      <w:r w:rsidRPr="00B1517F">
        <w:rPr>
          <w:bCs/>
        </w:rPr>
        <w:t xml:space="preserve"> </w:t>
      </w:r>
      <w:r w:rsidRPr="00B1517F">
        <w:rPr>
          <w:b/>
          <w:bCs/>
        </w:rPr>
        <w:t>shall</w:t>
      </w:r>
      <w:r w:rsidRPr="00B1517F">
        <w:rPr>
          <w:bCs/>
        </w:rPr>
        <w:t xml:space="preserve"> contain all the elements set out in Annex III of the </w:t>
      </w:r>
      <w:r w:rsidR="00B1517F">
        <w:rPr>
          <w:bCs/>
        </w:rPr>
        <w:t>I</w:t>
      </w:r>
      <w:r w:rsidRPr="00B1517F">
        <w:rPr>
          <w:bCs/>
        </w:rPr>
        <w:t xml:space="preserve">nteroperability Regulation and </w:t>
      </w:r>
      <w:r w:rsidRPr="00B1517F">
        <w:rPr>
          <w:b/>
          <w:bCs/>
        </w:rPr>
        <w:t>shall</w:t>
      </w:r>
      <w:r w:rsidRPr="00B1517F">
        <w:rPr>
          <w:bCs/>
        </w:rPr>
        <w:t xml:space="preserve"> be compiled fully in accordance with the </w:t>
      </w:r>
      <w:hyperlink r:id="rId11" w:history="1">
        <w:r w:rsidRPr="001403E1">
          <w:rPr>
            <w:rStyle w:val="Hiperhivatkozs"/>
            <w:bCs/>
          </w:rPr>
          <w:t>EUROC</w:t>
        </w:r>
        <w:r w:rsidRPr="001403E1">
          <w:rPr>
            <w:rStyle w:val="Hiperhivatkozs"/>
            <w:bCs/>
          </w:rPr>
          <w:t>O</w:t>
        </w:r>
        <w:r w:rsidRPr="001403E1">
          <w:rPr>
            <w:rStyle w:val="Hiperhivatkozs"/>
            <w:bCs/>
          </w:rPr>
          <w:t>NTROL Guideli</w:t>
        </w:r>
        <w:r w:rsidRPr="001403E1">
          <w:rPr>
            <w:rStyle w:val="Hiperhivatkozs"/>
            <w:bCs/>
          </w:rPr>
          <w:t>n</w:t>
        </w:r>
        <w:r w:rsidRPr="001403E1">
          <w:rPr>
            <w:rStyle w:val="Hiperhivatkozs"/>
            <w:bCs/>
          </w:rPr>
          <w:t>es on conf</w:t>
        </w:r>
        <w:r w:rsidRPr="001403E1">
          <w:rPr>
            <w:rStyle w:val="Hiperhivatkozs"/>
            <w:bCs/>
          </w:rPr>
          <w:t>o</w:t>
        </w:r>
        <w:r w:rsidRPr="001403E1">
          <w:rPr>
            <w:rStyle w:val="Hiperhivatkozs"/>
            <w:bCs/>
          </w:rPr>
          <w:t>rmity assessment for the interoperability R</w:t>
        </w:r>
        <w:r w:rsidRPr="001403E1">
          <w:rPr>
            <w:rStyle w:val="Hiperhivatkozs"/>
            <w:lang w:val="en-GB"/>
          </w:rPr>
          <w:t>egulation of the single European sky</w:t>
        </w:r>
      </w:hyperlink>
      <w:r w:rsidRPr="00B1517F">
        <w:rPr>
          <w:lang w:val="en-GB"/>
        </w:rPr>
        <w:t>; EUROCONTROL-GUID-137, 2012-02-20, Edition 3</w:t>
      </w:r>
      <w:r w:rsidRPr="00B1517F">
        <w:rPr>
          <w:bCs/>
        </w:rPr>
        <w:t xml:space="preserve">.0 or latest valid at the time of delivering the DoC or DSU (hereinafter referred to as </w:t>
      </w:r>
      <w:r w:rsidR="00B1517F">
        <w:rPr>
          <w:bCs/>
        </w:rPr>
        <w:t>“</w:t>
      </w:r>
      <w:hyperlink r:id="rId12" w:history="1">
        <w:r w:rsidRPr="001403E1">
          <w:rPr>
            <w:rStyle w:val="Hiperhivatkozs"/>
            <w:bCs/>
          </w:rPr>
          <w:t>EURO</w:t>
        </w:r>
        <w:r w:rsidRPr="001403E1">
          <w:rPr>
            <w:rStyle w:val="Hiperhivatkozs"/>
            <w:bCs/>
          </w:rPr>
          <w:t>C</w:t>
        </w:r>
        <w:r w:rsidRPr="001403E1">
          <w:rPr>
            <w:rStyle w:val="Hiperhivatkozs"/>
            <w:bCs/>
          </w:rPr>
          <w:t>ONTROL Guidelines</w:t>
        </w:r>
      </w:hyperlink>
      <w:r w:rsidR="00B1517F">
        <w:rPr>
          <w:bCs/>
        </w:rPr>
        <w:t>”</w:t>
      </w:r>
      <w:r w:rsidRPr="00B1517F">
        <w:rPr>
          <w:bCs/>
        </w:rPr>
        <w:t xml:space="preserve">) and </w:t>
      </w:r>
      <w:r w:rsidRPr="00B1517F">
        <w:rPr>
          <w:b/>
          <w:bCs/>
        </w:rPr>
        <w:t>shall</w:t>
      </w:r>
      <w:r w:rsidRPr="00B1517F">
        <w:rPr>
          <w:bCs/>
        </w:rPr>
        <w:t xml:space="preserve"> have a structure and content corresponding of the templates referenced in it.</w:t>
      </w:r>
    </w:p>
    <w:p w14:paraId="5AB30EAB" w14:textId="1A06BBD5" w:rsidR="00B1517F" w:rsidRDefault="00B461D4" w:rsidP="00B751AB">
      <w:pPr>
        <w:pStyle w:val="Listaszerbekezds"/>
        <w:numPr>
          <w:ilvl w:val="0"/>
          <w:numId w:val="1"/>
        </w:numPr>
        <w:spacing w:after="120"/>
        <w:ind w:left="426" w:hanging="426"/>
        <w:contextualSpacing w:val="0"/>
        <w:jc w:val="both"/>
        <w:rPr>
          <w:lang w:val="en-GB"/>
        </w:rPr>
      </w:pPr>
      <w:r w:rsidRPr="00B1517F">
        <w:rPr>
          <w:bCs/>
        </w:rPr>
        <w:t xml:space="preserve">For the </w:t>
      </w:r>
      <w:r w:rsidRPr="00B1517F">
        <w:rPr>
          <w:bCs/>
          <w:i/>
        </w:rPr>
        <w:t>Declaration of Conformity (DoC)</w:t>
      </w:r>
      <w:r w:rsidRPr="00B1517F">
        <w:rPr>
          <w:bCs/>
        </w:rPr>
        <w:t xml:space="preserve"> and </w:t>
      </w:r>
      <w:r w:rsidRPr="00B1517F">
        <w:rPr>
          <w:bCs/>
          <w:i/>
        </w:rPr>
        <w:t>Declaration of Suitability for Use (DSU)</w:t>
      </w:r>
      <w:r w:rsidRPr="00B1517F">
        <w:rPr>
          <w:bCs/>
        </w:rPr>
        <w:t xml:space="preserve"> the template</w:t>
      </w:r>
      <w:r w:rsidRPr="00B1517F">
        <w:rPr>
          <w:lang w:val="en-GB"/>
        </w:rPr>
        <w:t xml:space="preserve">s </w:t>
      </w:r>
      <w:r w:rsidRPr="00B1517F">
        <w:rPr>
          <w:lang w:val="en-GB"/>
        </w:rPr>
        <w:t>referenced in the</w:t>
      </w:r>
      <w:r w:rsidR="001403E1">
        <w:rPr>
          <w:lang w:val="en-GB"/>
        </w:rPr>
        <w:t xml:space="preserve"> </w:t>
      </w:r>
      <w:hyperlink r:id="rId13" w:history="1">
        <w:r w:rsidR="001403E1" w:rsidRPr="001403E1">
          <w:rPr>
            <w:rStyle w:val="Hiperhivatkozs"/>
            <w:bCs/>
          </w:rPr>
          <w:t>EUROCO</w:t>
        </w:r>
        <w:r w:rsidR="001403E1" w:rsidRPr="001403E1">
          <w:rPr>
            <w:rStyle w:val="Hiperhivatkozs"/>
            <w:bCs/>
          </w:rPr>
          <w:t>N</w:t>
        </w:r>
        <w:r w:rsidR="001403E1" w:rsidRPr="001403E1">
          <w:rPr>
            <w:rStyle w:val="Hiperhivatkozs"/>
            <w:bCs/>
          </w:rPr>
          <w:t>TROL Guidelines</w:t>
        </w:r>
      </w:hyperlink>
      <w:r w:rsidR="001403E1" w:rsidRPr="001403E1">
        <w:rPr>
          <w:lang w:val="en-GB"/>
        </w:rPr>
        <w:t xml:space="preserve"> </w:t>
      </w:r>
      <w:r w:rsidRPr="001403E1">
        <w:rPr>
          <w:lang w:val="en-GB"/>
        </w:rPr>
        <w:t>s</w:t>
      </w:r>
      <w:r w:rsidRPr="00B1517F">
        <w:rPr>
          <w:b/>
          <w:lang w:val="en-GB"/>
        </w:rPr>
        <w:t>hall</w:t>
      </w:r>
      <w:r w:rsidRPr="00B1517F">
        <w:rPr>
          <w:lang w:val="en-GB"/>
        </w:rPr>
        <w:t xml:space="preserve"> be used</w:t>
      </w:r>
      <w:r w:rsidR="00B1517F">
        <w:rPr>
          <w:lang w:val="en-GB"/>
        </w:rPr>
        <w:t>:</w:t>
      </w:r>
    </w:p>
    <w:p w14:paraId="5AB30EAC" w14:textId="77777777" w:rsidR="00B1517F" w:rsidRPr="00B1517F" w:rsidRDefault="00B461D4" w:rsidP="00B1517F">
      <w:pPr>
        <w:pStyle w:val="Listaszerbekezds"/>
        <w:numPr>
          <w:ilvl w:val="1"/>
          <w:numId w:val="1"/>
        </w:numPr>
        <w:spacing w:after="120"/>
        <w:contextualSpacing w:val="0"/>
        <w:jc w:val="both"/>
        <w:rPr>
          <w:lang w:val="en-GB"/>
        </w:rPr>
      </w:pPr>
      <w:r w:rsidRPr="00B1517F">
        <w:rPr>
          <w:lang w:val="en-GB"/>
        </w:rPr>
        <w:t>for DoC</w:t>
      </w:r>
      <w:r w:rsidRPr="00B1517F">
        <w:rPr>
          <w:bCs/>
        </w:rPr>
        <w:t>: "EC declaration of conformity of an EATMN Constituent", Version 1.3, 20/02/2012,</w:t>
      </w:r>
      <w:r w:rsidR="00B751AB" w:rsidRPr="00B751AB">
        <w:rPr>
          <w:bCs/>
        </w:rPr>
        <w:t xml:space="preserve"> </w:t>
      </w:r>
      <w:r w:rsidR="00B751AB" w:rsidRPr="00B1517F">
        <w:rPr>
          <w:bCs/>
        </w:rPr>
        <w:t>or latest version valid at the time of delivering the DoC</w:t>
      </w:r>
      <w:r w:rsidR="00B751AB">
        <w:rPr>
          <w:bCs/>
        </w:rPr>
        <w:t>,</w:t>
      </w:r>
    </w:p>
    <w:p w14:paraId="5AB30EAD" w14:textId="5D77A151" w:rsidR="00B751AB" w:rsidRPr="00B751AB" w:rsidRDefault="00B461D4" w:rsidP="00B751AB">
      <w:pPr>
        <w:pStyle w:val="Listaszerbekezds"/>
        <w:numPr>
          <w:ilvl w:val="1"/>
          <w:numId w:val="1"/>
        </w:numPr>
        <w:spacing w:after="120"/>
        <w:contextualSpacing w:val="0"/>
        <w:jc w:val="both"/>
        <w:rPr>
          <w:lang w:val="en-GB"/>
        </w:rPr>
      </w:pPr>
      <w:r w:rsidRPr="00B751AB">
        <w:rPr>
          <w:bCs/>
        </w:rPr>
        <w:t xml:space="preserve">for DSU: "EC declaration of suitability for use of an EATMN Constituent", Version 1.3, </w:t>
      </w:r>
      <w:r w:rsidR="00542E56" w:rsidRPr="00B1517F">
        <w:rPr>
          <w:bCs/>
        </w:rPr>
        <w:t>20/02/2012</w:t>
      </w:r>
      <w:r w:rsidR="00542E56">
        <w:rPr>
          <w:bCs/>
        </w:rPr>
        <w:t xml:space="preserve"> </w:t>
      </w:r>
      <w:r w:rsidR="00B751AB" w:rsidRPr="00B751AB">
        <w:rPr>
          <w:bCs/>
        </w:rPr>
        <w:t xml:space="preserve">or latest version valid at the time of delivering the </w:t>
      </w:r>
      <w:r w:rsidRPr="00B751AB">
        <w:rPr>
          <w:bCs/>
        </w:rPr>
        <w:t>DSU</w:t>
      </w:r>
    </w:p>
    <w:p w14:paraId="5AB30EAE" w14:textId="77777777" w:rsidR="00B461D4" w:rsidRPr="00B751AB" w:rsidRDefault="00B751AB" w:rsidP="00B751AB">
      <w:pPr>
        <w:pStyle w:val="Listaszerbekezds"/>
        <w:spacing w:after="120"/>
        <w:ind w:left="426"/>
        <w:contextualSpacing w:val="0"/>
        <w:jc w:val="both"/>
        <w:rPr>
          <w:lang w:val="en-GB"/>
        </w:rPr>
      </w:pPr>
      <w:r>
        <w:rPr>
          <w:bCs/>
        </w:rPr>
        <w:t xml:space="preserve">NOTE: </w:t>
      </w:r>
      <w:r w:rsidR="00B461D4" w:rsidRPr="00B751AB">
        <w:rPr>
          <w:bCs/>
        </w:rPr>
        <w:t>The</w:t>
      </w:r>
      <w:r w:rsidR="00B461D4" w:rsidRPr="00B751AB">
        <w:rPr>
          <w:lang w:val="en-GB"/>
        </w:rPr>
        <w:t xml:space="preserve"> declaration templates can be download</w:t>
      </w:r>
      <w:r>
        <w:rPr>
          <w:lang w:val="en-GB"/>
        </w:rPr>
        <w:t xml:space="preserve">ed from the Eurocontrol website: </w:t>
      </w:r>
      <w:hyperlink r:id="rId14" w:history="1">
        <w:r w:rsidR="00B461D4" w:rsidRPr="00B751AB">
          <w:rPr>
            <w:rStyle w:val="Hiperhivatkozs"/>
            <w:lang w:val="en-GB"/>
          </w:rPr>
          <w:t>http://www.eurocontrol.int/ar</w:t>
        </w:r>
        <w:r w:rsidR="00B461D4" w:rsidRPr="00B751AB">
          <w:rPr>
            <w:rStyle w:val="Hiperhivatkozs"/>
            <w:lang w:val="en-GB"/>
          </w:rPr>
          <w:t>t</w:t>
        </w:r>
        <w:r w:rsidR="00B461D4" w:rsidRPr="00B751AB">
          <w:rPr>
            <w:rStyle w:val="Hiperhivatkozs"/>
            <w:lang w:val="en-GB"/>
          </w:rPr>
          <w:t>icles/conformity-assessment</w:t>
        </w:r>
      </w:hyperlink>
      <w:r w:rsidR="00B461D4" w:rsidRPr="00B751AB">
        <w:rPr>
          <w:lang w:val="en-GB"/>
        </w:rPr>
        <w:t xml:space="preserve"> or will be sent to the </w:t>
      </w:r>
      <w:r w:rsidR="00B461D4" w:rsidRPr="00B751AB">
        <w:rPr>
          <w:bCs/>
        </w:rPr>
        <w:t>Tenderer/Supplier upon request</w:t>
      </w:r>
      <w:r w:rsidR="00B461D4" w:rsidRPr="00B751AB">
        <w:rPr>
          <w:lang w:val="en-GB"/>
        </w:rPr>
        <w:t>.</w:t>
      </w:r>
    </w:p>
    <w:p w14:paraId="5AB30EAF" w14:textId="07E98851" w:rsidR="00B461D4" w:rsidRPr="00B751AB" w:rsidRDefault="00B461D4" w:rsidP="00B751AB">
      <w:pPr>
        <w:pStyle w:val="Listaszerbekezds"/>
        <w:numPr>
          <w:ilvl w:val="0"/>
          <w:numId w:val="1"/>
        </w:numPr>
        <w:spacing w:after="120"/>
        <w:ind w:left="426" w:hanging="426"/>
        <w:contextualSpacing w:val="0"/>
        <w:jc w:val="both"/>
        <w:rPr>
          <w:bCs/>
        </w:rPr>
      </w:pPr>
      <w:r w:rsidRPr="00B751AB">
        <w:rPr>
          <w:lang w:val="en-GB"/>
        </w:rPr>
        <w:t xml:space="preserve">The Tenderer/Supplier </w:t>
      </w:r>
      <w:r w:rsidRPr="00B751AB">
        <w:rPr>
          <w:b/>
          <w:lang w:val="en-GB"/>
        </w:rPr>
        <w:t>shall</w:t>
      </w:r>
      <w:r w:rsidRPr="00B751AB">
        <w:rPr>
          <w:lang w:val="en-GB"/>
        </w:rPr>
        <w:t xml:space="preserve"> </w:t>
      </w:r>
      <w:r w:rsidRPr="00B751AB">
        <w:rPr>
          <w:bCs/>
        </w:rPr>
        <w:t>provide</w:t>
      </w:r>
      <w:r w:rsidRPr="00B751AB">
        <w:rPr>
          <w:lang w:val="en-GB"/>
        </w:rPr>
        <w:t xml:space="preserve"> in each section of the </w:t>
      </w:r>
      <w:r w:rsidRPr="00B751AB">
        <w:rPr>
          <w:bCs/>
          <w:i/>
        </w:rPr>
        <w:t>Declaration of Conformity (DoC)</w:t>
      </w:r>
      <w:r w:rsidRPr="00B751AB">
        <w:rPr>
          <w:bCs/>
        </w:rPr>
        <w:t xml:space="preserve"> or the </w:t>
      </w:r>
      <w:r w:rsidRPr="00B751AB">
        <w:rPr>
          <w:i/>
          <w:lang w:val="en-GB"/>
        </w:rPr>
        <w:t>Declaration of Suitability for Use (DSU)</w:t>
      </w:r>
      <w:r w:rsidRPr="00B751AB">
        <w:rPr>
          <w:lang w:val="en-GB"/>
        </w:rPr>
        <w:t xml:space="preserve"> all the relevant information with the necessary details as indicated in the DoC or DSU templates taking into account also all the information in all relevant parts (especially those related to the conformity assessment principles, determination of different </w:t>
      </w:r>
      <w:r w:rsidRPr="00B751AB">
        <w:rPr>
          <w:lang w:val="en-GB"/>
        </w:rPr>
        <w:lastRenderedPageBreak/>
        <w:t>EATMN systems and constituents, establishing the baseline for conformity assessment, completing the DoC and DSU declarations, conformity assessment maintenance as well as those contained in Annexes B, C, D, E and F) of</w:t>
      </w:r>
      <w:r w:rsidRPr="00B751AB">
        <w:rPr>
          <w:bCs/>
        </w:rPr>
        <w:t xml:space="preserve"> the </w:t>
      </w:r>
      <w:hyperlink r:id="rId15" w:history="1">
        <w:r w:rsidR="001403E1" w:rsidRPr="001403E1">
          <w:rPr>
            <w:rStyle w:val="Hiperhivatkozs"/>
            <w:bCs/>
          </w:rPr>
          <w:t>EUROCONTROL Guidelines</w:t>
        </w:r>
      </w:hyperlink>
      <w:r w:rsidRPr="00B751AB">
        <w:rPr>
          <w:bCs/>
        </w:rPr>
        <w:t>.</w:t>
      </w:r>
    </w:p>
    <w:p w14:paraId="5AB30EB0" w14:textId="77777777" w:rsidR="00B751AB" w:rsidRPr="003A4DC8" w:rsidRDefault="00B461D4" w:rsidP="00B751AB">
      <w:pPr>
        <w:pStyle w:val="Listaszerbekezds"/>
        <w:numPr>
          <w:ilvl w:val="0"/>
          <w:numId w:val="1"/>
        </w:numPr>
        <w:spacing w:after="120"/>
        <w:ind w:left="426" w:hanging="426"/>
        <w:contextualSpacing w:val="0"/>
        <w:jc w:val="both"/>
        <w:rPr>
          <w:bCs/>
        </w:rPr>
      </w:pPr>
      <w:r w:rsidRPr="003A4DC8">
        <w:rPr>
          <w:bCs/>
        </w:rPr>
        <w:t xml:space="preserve">In </w:t>
      </w:r>
      <w:r w:rsidRPr="003A4DC8">
        <w:rPr>
          <w:lang w:val="en-GB"/>
        </w:rPr>
        <w:t>accordance</w:t>
      </w:r>
      <w:r w:rsidRPr="003A4DC8">
        <w:rPr>
          <w:bCs/>
        </w:rPr>
        <w:t xml:space="preserve"> with the above described the </w:t>
      </w:r>
      <w:r w:rsidRPr="003A4DC8">
        <w:rPr>
          <w:bCs/>
          <w:i/>
        </w:rPr>
        <w:t>Declaration of Conformity (DoC)</w:t>
      </w:r>
      <w:r w:rsidRPr="003A4DC8">
        <w:rPr>
          <w:bCs/>
        </w:rPr>
        <w:t xml:space="preserve"> or the </w:t>
      </w:r>
      <w:r w:rsidRPr="003A4DC8">
        <w:rPr>
          <w:bCs/>
          <w:i/>
        </w:rPr>
        <w:t>Declaration of Suitability for Use (DSU)</w:t>
      </w:r>
      <w:r w:rsidRPr="003A4DC8">
        <w:rPr>
          <w:bCs/>
        </w:rPr>
        <w:t xml:space="preserve"> </w:t>
      </w:r>
      <w:r w:rsidRPr="003A4DC8">
        <w:rPr>
          <w:b/>
          <w:bCs/>
        </w:rPr>
        <w:t>shall</w:t>
      </w:r>
      <w:r w:rsidRPr="003A4DC8">
        <w:rPr>
          <w:bCs/>
        </w:rPr>
        <w:t xml:space="preserve"> include the following sections with the following content:</w:t>
      </w:r>
    </w:p>
    <w:p w14:paraId="5AB30EB1" w14:textId="4C4E464A" w:rsidR="00B751AB" w:rsidRPr="003A4DC8" w:rsidRDefault="00B751AB" w:rsidP="00BB288B">
      <w:pPr>
        <w:pStyle w:val="Listaszerbekezds"/>
        <w:numPr>
          <w:ilvl w:val="1"/>
          <w:numId w:val="1"/>
        </w:numPr>
        <w:spacing w:after="120"/>
        <w:ind w:left="1134" w:hanging="414"/>
        <w:contextualSpacing w:val="0"/>
        <w:jc w:val="both"/>
        <w:rPr>
          <w:bCs/>
          <w:i/>
        </w:rPr>
      </w:pPr>
      <w:r w:rsidRPr="003A4DC8">
        <w:rPr>
          <w:bCs/>
          <w:i/>
        </w:rPr>
        <w:t xml:space="preserve">II </w:t>
      </w:r>
      <w:r w:rsidR="00282126" w:rsidRPr="003A4DC8">
        <w:rPr>
          <w:bCs/>
          <w:i/>
        </w:rPr>
        <w:t xml:space="preserve">- </w:t>
      </w:r>
      <w:r w:rsidR="00B461D4" w:rsidRPr="003A4DC8">
        <w:rPr>
          <w:bCs/>
          <w:i/>
        </w:rPr>
        <w:t>Descr</w:t>
      </w:r>
      <w:r w:rsidRPr="003A4DC8">
        <w:rPr>
          <w:bCs/>
          <w:i/>
        </w:rPr>
        <w:t>iption of the EATMN constituent</w:t>
      </w:r>
    </w:p>
    <w:p w14:paraId="5AB30EB2" w14:textId="214CB8F9" w:rsidR="00B751AB" w:rsidRDefault="00B461D4" w:rsidP="00BB288B">
      <w:pPr>
        <w:pStyle w:val="Listaszerbekezds"/>
        <w:spacing w:after="120"/>
        <w:ind w:left="1134"/>
        <w:contextualSpacing w:val="0"/>
        <w:jc w:val="both"/>
        <w:rPr>
          <w:bCs/>
        </w:rPr>
      </w:pPr>
      <w:r w:rsidRPr="0015704F">
        <w:rPr>
          <w:bCs/>
        </w:rPr>
        <w:t>This section</w:t>
      </w:r>
      <w:r w:rsidR="009E36D0">
        <w:rPr>
          <w:bCs/>
        </w:rPr>
        <w:t xml:space="preserve"> of the </w:t>
      </w:r>
      <w:r w:rsidR="009E36D0" w:rsidRPr="00B751AB">
        <w:rPr>
          <w:bCs/>
          <w:i/>
        </w:rPr>
        <w:t>Declaration of Conformity (DoC)</w:t>
      </w:r>
      <w:r w:rsidR="009E36D0" w:rsidRPr="0015704F">
        <w:rPr>
          <w:bCs/>
        </w:rPr>
        <w:t xml:space="preserve"> or the </w:t>
      </w:r>
      <w:r w:rsidR="009E36D0" w:rsidRPr="00B751AB">
        <w:rPr>
          <w:bCs/>
          <w:i/>
        </w:rPr>
        <w:t>Declaration of Suitability for Use (DSU)</w:t>
      </w:r>
      <w:r w:rsidRPr="0015704F">
        <w:rPr>
          <w:bCs/>
        </w:rPr>
        <w:t xml:space="preserve"> </w:t>
      </w:r>
      <w:r w:rsidRPr="00D64D3B">
        <w:rPr>
          <w:b/>
          <w:bCs/>
        </w:rPr>
        <w:t>shall</w:t>
      </w:r>
      <w:r w:rsidRPr="0015704F">
        <w:rPr>
          <w:bCs/>
        </w:rPr>
        <w:t xml:space="preserve"> contain</w:t>
      </w:r>
      <w:r w:rsidR="00B751AB">
        <w:rPr>
          <w:bCs/>
        </w:rPr>
        <w:t>:</w:t>
      </w:r>
    </w:p>
    <w:p w14:paraId="5AB30EB3" w14:textId="77777777" w:rsidR="00B751AB" w:rsidRDefault="00B461D4" w:rsidP="00B751AB">
      <w:pPr>
        <w:pStyle w:val="Listaszerbekezds"/>
        <w:numPr>
          <w:ilvl w:val="0"/>
          <w:numId w:val="3"/>
        </w:numPr>
        <w:spacing w:after="120"/>
        <w:contextualSpacing w:val="0"/>
        <w:jc w:val="both"/>
        <w:rPr>
          <w:bCs/>
        </w:rPr>
      </w:pPr>
      <w:r w:rsidRPr="0015704F">
        <w:rPr>
          <w:bCs/>
        </w:rPr>
        <w:t xml:space="preserve">the identification of the </w:t>
      </w:r>
      <w:r w:rsidR="00B751AB">
        <w:rPr>
          <w:bCs/>
        </w:rPr>
        <w:t>constituent</w:t>
      </w:r>
    </w:p>
    <w:p w14:paraId="5AB30EB4" w14:textId="77777777" w:rsidR="00B751AB" w:rsidRPr="00B751AB" w:rsidRDefault="00B461D4" w:rsidP="00B751AB">
      <w:pPr>
        <w:pStyle w:val="Listaszerbekezds"/>
        <w:numPr>
          <w:ilvl w:val="0"/>
          <w:numId w:val="3"/>
        </w:numPr>
        <w:spacing w:after="120"/>
        <w:contextualSpacing w:val="0"/>
        <w:jc w:val="both"/>
        <w:rPr>
          <w:bCs/>
        </w:rPr>
      </w:pPr>
      <w:r w:rsidRPr="0015704F">
        <w:rPr>
          <w:bCs/>
        </w:rPr>
        <w:t xml:space="preserve">its </w:t>
      </w:r>
      <w:r w:rsidRPr="0015704F">
        <w:rPr>
          <w:color w:val="231F20"/>
        </w:rPr>
        <w:t>intended purpose</w:t>
      </w:r>
    </w:p>
    <w:p w14:paraId="5AB30EB5" w14:textId="77777777" w:rsidR="00B751AB" w:rsidRPr="00B751AB" w:rsidRDefault="00B461D4" w:rsidP="00B751AB">
      <w:pPr>
        <w:pStyle w:val="Listaszerbekezds"/>
        <w:numPr>
          <w:ilvl w:val="0"/>
          <w:numId w:val="3"/>
        </w:numPr>
        <w:spacing w:after="120"/>
        <w:contextualSpacing w:val="0"/>
        <w:jc w:val="both"/>
        <w:rPr>
          <w:bCs/>
        </w:rPr>
      </w:pPr>
      <w:r w:rsidRPr="0015704F">
        <w:rPr>
          <w:color w:val="231F20"/>
        </w:rPr>
        <w:t>its functions</w:t>
      </w:r>
    </w:p>
    <w:p w14:paraId="5AB30EB6" w14:textId="77777777" w:rsidR="00BB288B" w:rsidRPr="00BB288B" w:rsidRDefault="00B461D4" w:rsidP="00B751AB">
      <w:pPr>
        <w:pStyle w:val="Listaszerbekezds"/>
        <w:numPr>
          <w:ilvl w:val="0"/>
          <w:numId w:val="3"/>
        </w:numPr>
        <w:spacing w:after="120"/>
        <w:contextualSpacing w:val="0"/>
        <w:jc w:val="both"/>
        <w:rPr>
          <w:bCs/>
        </w:rPr>
      </w:pPr>
      <w:r w:rsidRPr="0015704F">
        <w:rPr>
          <w:color w:val="231F20"/>
        </w:rPr>
        <w:t>its interfaces</w:t>
      </w:r>
    </w:p>
    <w:p w14:paraId="5AB30EB7" w14:textId="3D4C581B" w:rsidR="00BB288B" w:rsidRDefault="00B461D4" w:rsidP="00BB288B">
      <w:pPr>
        <w:pStyle w:val="Listaszerbekezds"/>
        <w:spacing w:after="120"/>
        <w:ind w:left="1134"/>
        <w:contextualSpacing w:val="0"/>
        <w:jc w:val="both"/>
        <w:rPr>
          <w:bCs/>
        </w:rPr>
      </w:pPr>
      <w:r w:rsidRPr="0015704F">
        <w:rPr>
          <w:color w:val="231F20"/>
        </w:rPr>
        <w:t>with</w:t>
      </w:r>
      <w:r w:rsidRPr="0015704F">
        <w:rPr>
          <w:bCs/>
        </w:rPr>
        <w:t xml:space="preserve"> relevant details and </w:t>
      </w:r>
      <w:r w:rsidR="003A4DC8" w:rsidRPr="003A4DC8">
        <w:rPr>
          <w:b/>
          <w:bCs/>
        </w:rPr>
        <w:t>shall</w:t>
      </w:r>
      <w:r w:rsidR="003A4DC8">
        <w:rPr>
          <w:bCs/>
        </w:rPr>
        <w:t xml:space="preserve"> </w:t>
      </w:r>
      <w:r w:rsidRPr="0015704F">
        <w:rPr>
          <w:bCs/>
        </w:rPr>
        <w:t xml:space="preserve">provide an EATMN representation as described in section 3 of the </w:t>
      </w:r>
      <w:hyperlink r:id="rId16" w:history="1">
        <w:r w:rsidR="001403E1" w:rsidRPr="001403E1">
          <w:rPr>
            <w:rStyle w:val="Hiperhivatkozs"/>
            <w:bCs/>
          </w:rPr>
          <w:t>EUROCONTROL Guidelines</w:t>
        </w:r>
      </w:hyperlink>
      <w:r w:rsidRPr="0015704F">
        <w:rPr>
          <w:bCs/>
        </w:rPr>
        <w:t>.</w:t>
      </w:r>
    </w:p>
    <w:p w14:paraId="5AB30EB8" w14:textId="77777777" w:rsidR="00BB288B" w:rsidRPr="00D64D3B" w:rsidRDefault="00B461D4" w:rsidP="00BB288B">
      <w:pPr>
        <w:pStyle w:val="Listaszerbekezds"/>
        <w:numPr>
          <w:ilvl w:val="1"/>
          <w:numId w:val="1"/>
        </w:numPr>
        <w:spacing w:after="120"/>
        <w:ind w:left="1134" w:hanging="414"/>
        <w:contextualSpacing w:val="0"/>
        <w:jc w:val="both"/>
        <w:rPr>
          <w:bCs/>
          <w:i/>
        </w:rPr>
      </w:pPr>
      <w:r w:rsidRPr="00D64D3B">
        <w:rPr>
          <w:bCs/>
          <w:i/>
        </w:rPr>
        <w:t>III - Conditions of Use</w:t>
      </w:r>
    </w:p>
    <w:p w14:paraId="5AB30EB9" w14:textId="1445919A" w:rsidR="00BB288B" w:rsidRDefault="00B461D4" w:rsidP="00D64D3B">
      <w:pPr>
        <w:pStyle w:val="Listaszerbekezds"/>
        <w:spacing w:after="120"/>
        <w:ind w:left="1134"/>
        <w:contextualSpacing w:val="0"/>
        <w:jc w:val="both"/>
        <w:rPr>
          <w:bCs/>
        </w:rPr>
      </w:pPr>
      <w:r w:rsidRPr="0015704F">
        <w:rPr>
          <w:bCs/>
        </w:rPr>
        <w:t xml:space="preserve">This section </w:t>
      </w:r>
      <w:r w:rsidR="009E36D0">
        <w:rPr>
          <w:bCs/>
        </w:rPr>
        <w:t xml:space="preserve">of the </w:t>
      </w:r>
      <w:r w:rsidR="009E36D0" w:rsidRPr="00B751AB">
        <w:rPr>
          <w:bCs/>
          <w:i/>
        </w:rPr>
        <w:t>Declaration of Conformity (DoC)</w:t>
      </w:r>
      <w:r w:rsidR="009E36D0" w:rsidRPr="0015704F">
        <w:rPr>
          <w:bCs/>
        </w:rPr>
        <w:t xml:space="preserve"> or the </w:t>
      </w:r>
      <w:r w:rsidR="009E36D0" w:rsidRPr="00B751AB">
        <w:rPr>
          <w:bCs/>
          <w:i/>
        </w:rPr>
        <w:t>Declaration of Suitability for Use (DSU)</w:t>
      </w:r>
      <w:r w:rsidR="000E4D70">
        <w:rPr>
          <w:bCs/>
          <w:i/>
        </w:rPr>
        <w:t xml:space="preserve"> </w:t>
      </w:r>
      <w:r w:rsidRPr="00D64D3B">
        <w:rPr>
          <w:b/>
          <w:bCs/>
        </w:rPr>
        <w:t>shall</w:t>
      </w:r>
      <w:r w:rsidRPr="0015704F">
        <w:rPr>
          <w:bCs/>
        </w:rPr>
        <w:t xml:space="preserve"> contain</w:t>
      </w:r>
      <w:r w:rsidR="00BB288B">
        <w:rPr>
          <w:bCs/>
        </w:rPr>
        <w:t>:</w:t>
      </w:r>
    </w:p>
    <w:p w14:paraId="5AB30EBA" w14:textId="77777777" w:rsidR="00BB288B" w:rsidRDefault="00B461D4" w:rsidP="00BB288B">
      <w:pPr>
        <w:pStyle w:val="Listaszerbekezds"/>
        <w:numPr>
          <w:ilvl w:val="0"/>
          <w:numId w:val="4"/>
        </w:numPr>
        <w:spacing w:after="120"/>
        <w:contextualSpacing w:val="0"/>
        <w:jc w:val="both"/>
        <w:rPr>
          <w:bCs/>
        </w:rPr>
      </w:pPr>
      <w:r w:rsidRPr="0015704F">
        <w:rPr>
          <w:bCs/>
        </w:rPr>
        <w:t xml:space="preserve">the description of the air traffic management environment </w:t>
      </w:r>
      <w:r w:rsidRPr="0015704F">
        <w:rPr>
          <w:color w:val="231F20"/>
        </w:rPr>
        <w:t>with</w:t>
      </w:r>
      <w:r w:rsidRPr="0015704F">
        <w:rPr>
          <w:bCs/>
        </w:rPr>
        <w:t xml:space="preserve"> relevant details</w:t>
      </w:r>
    </w:p>
    <w:p w14:paraId="5AB30EBB" w14:textId="77777777" w:rsidR="00BB288B" w:rsidRDefault="00B461D4" w:rsidP="00BB288B">
      <w:pPr>
        <w:pStyle w:val="Listaszerbekezds"/>
        <w:numPr>
          <w:ilvl w:val="0"/>
          <w:numId w:val="4"/>
        </w:numPr>
        <w:spacing w:after="120"/>
        <w:contextualSpacing w:val="0"/>
        <w:jc w:val="both"/>
        <w:rPr>
          <w:bCs/>
        </w:rPr>
      </w:pPr>
      <w:r w:rsidRPr="0015704F">
        <w:rPr>
          <w:bCs/>
        </w:rPr>
        <w:t>the key performance indicators</w:t>
      </w:r>
    </w:p>
    <w:p w14:paraId="5AB30EBC" w14:textId="77777777" w:rsidR="00BB288B" w:rsidRDefault="00B461D4" w:rsidP="00BB288B">
      <w:pPr>
        <w:pStyle w:val="Listaszerbekezds"/>
        <w:numPr>
          <w:ilvl w:val="0"/>
          <w:numId w:val="4"/>
        </w:numPr>
        <w:spacing w:after="120"/>
        <w:contextualSpacing w:val="0"/>
        <w:jc w:val="both"/>
        <w:rPr>
          <w:bCs/>
        </w:rPr>
      </w:pPr>
      <w:r w:rsidRPr="0015704F">
        <w:rPr>
          <w:bCs/>
        </w:rPr>
        <w:t>the conditions for and limitations of use of the EATMN constituent.</w:t>
      </w:r>
    </w:p>
    <w:p w14:paraId="5AB30EBD" w14:textId="77777777" w:rsidR="00BB288B" w:rsidRDefault="00B461D4" w:rsidP="00BB288B">
      <w:pPr>
        <w:pStyle w:val="Listaszerbekezds"/>
        <w:spacing w:after="120"/>
        <w:ind w:left="1134"/>
        <w:contextualSpacing w:val="0"/>
        <w:jc w:val="both"/>
        <w:rPr>
          <w:bCs/>
        </w:rPr>
      </w:pPr>
      <w:r w:rsidRPr="0015704F">
        <w:rPr>
          <w:bCs/>
        </w:rPr>
        <w:t xml:space="preserve">If no such conditions or limitations exist, this </w:t>
      </w:r>
      <w:r w:rsidRPr="00D64D3B">
        <w:rPr>
          <w:b/>
          <w:bCs/>
        </w:rPr>
        <w:t>shall</w:t>
      </w:r>
      <w:r w:rsidRPr="0015704F">
        <w:rPr>
          <w:bCs/>
        </w:rPr>
        <w:t xml:space="preserve"> be explicitly indicated.</w:t>
      </w:r>
    </w:p>
    <w:p w14:paraId="5AB30EBE" w14:textId="77777777" w:rsidR="00D64D3B" w:rsidRPr="00D64D3B" w:rsidRDefault="00D64D3B" w:rsidP="00D64D3B">
      <w:pPr>
        <w:pStyle w:val="Listaszerbekezds"/>
        <w:numPr>
          <w:ilvl w:val="1"/>
          <w:numId w:val="1"/>
        </w:numPr>
        <w:spacing w:after="120"/>
        <w:ind w:left="1134" w:hanging="414"/>
        <w:contextualSpacing w:val="0"/>
        <w:jc w:val="both"/>
        <w:rPr>
          <w:bCs/>
          <w:i/>
        </w:rPr>
      </w:pPr>
      <w:r w:rsidRPr="00D64D3B">
        <w:rPr>
          <w:bCs/>
          <w:i/>
        </w:rPr>
        <w:t>IV - Regulation references</w:t>
      </w:r>
    </w:p>
    <w:p w14:paraId="5AB30EBF" w14:textId="72D1575F" w:rsidR="00D64D3B" w:rsidRDefault="00B461D4" w:rsidP="00BB288B">
      <w:pPr>
        <w:pStyle w:val="Listaszerbekezds"/>
        <w:spacing w:after="120"/>
        <w:ind w:left="1134"/>
        <w:contextualSpacing w:val="0"/>
        <w:jc w:val="both"/>
        <w:rPr>
          <w:bCs/>
        </w:rPr>
      </w:pPr>
      <w:r w:rsidRPr="0015704F">
        <w:rPr>
          <w:bCs/>
        </w:rPr>
        <w:t xml:space="preserve">This section </w:t>
      </w:r>
      <w:r w:rsidR="009E36D0" w:rsidRPr="0015704F">
        <w:rPr>
          <w:bCs/>
        </w:rPr>
        <w:t xml:space="preserve">section </w:t>
      </w:r>
      <w:r w:rsidR="009E36D0">
        <w:rPr>
          <w:bCs/>
        </w:rPr>
        <w:t xml:space="preserve">of the </w:t>
      </w:r>
      <w:r w:rsidR="009E36D0" w:rsidRPr="00B751AB">
        <w:rPr>
          <w:bCs/>
          <w:i/>
        </w:rPr>
        <w:t>Declaration of Conformity (DoC)</w:t>
      </w:r>
      <w:r w:rsidR="009E36D0" w:rsidRPr="0015704F">
        <w:rPr>
          <w:bCs/>
        </w:rPr>
        <w:t xml:space="preserve"> or the </w:t>
      </w:r>
      <w:r w:rsidR="009E36D0" w:rsidRPr="00B751AB">
        <w:rPr>
          <w:bCs/>
          <w:i/>
        </w:rPr>
        <w:t>Declaration of Suitability for Use (DSU)</w:t>
      </w:r>
      <w:r w:rsidR="005206BF">
        <w:rPr>
          <w:bCs/>
          <w:i/>
        </w:rPr>
        <w:t xml:space="preserve"> </w:t>
      </w:r>
      <w:r w:rsidRPr="00D64D3B">
        <w:rPr>
          <w:b/>
          <w:bCs/>
        </w:rPr>
        <w:t>shall</w:t>
      </w:r>
      <w:r w:rsidRPr="0015704F">
        <w:rPr>
          <w:bCs/>
        </w:rPr>
        <w:t xml:space="preserve"> contain</w:t>
      </w:r>
      <w:r w:rsidR="00D64D3B">
        <w:rPr>
          <w:bCs/>
        </w:rPr>
        <w:t>:</w:t>
      </w:r>
    </w:p>
    <w:p w14:paraId="5AB30EC0" w14:textId="77777777" w:rsidR="00D64D3B" w:rsidRDefault="00B461D4" w:rsidP="00D64D3B">
      <w:pPr>
        <w:pStyle w:val="Listaszerbekezds"/>
        <w:numPr>
          <w:ilvl w:val="0"/>
          <w:numId w:val="5"/>
        </w:numPr>
        <w:spacing w:after="120"/>
        <w:contextualSpacing w:val="0"/>
        <w:jc w:val="both"/>
        <w:rPr>
          <w:bCs/>
        </w:rPr>
      </w:pPr>
      <w:r w:rsidRPr="0015704F">
        <w:rPr>
          <w:bCs/>
        </w:rPr>
        <w:t xml:space="preserve">the reference with identification number and full title of </w:t>
      </w:r>
      <w:r w:rsidR="00D64D3B">
        <w:rPr>
          <w:bCs/>
        </w:rPr>
        <w:t>the I</w:t>
      </w:r>
      <w:r w:rsidRPr="0015704F">
        <w:rPr>
          <w:bCs/>
        </w:rPr>
        <w:t>nteroperability Regulation</w:t>
      </w:r>
    </w:p>
    <w:p w14:paraId="5AB30EC1" w14:textId="77777777" w:rsidR="00D64D3B" w:rsidRDefault="00B461D4" w:rsidP="00D64D3B">
      <w:pPr>
        <w:pStyle w:val="Listaszerbekezds"/>
        <w:numPr>
          <w:ilvl w:val="0"/>
          <w:numId w:val="5"/>
        </w:numPr>
        <w:spacing w:after="120"/>
        <w:contextualSpacing w:val="0"/>
        <w:jc w:val="both"/>
        <w:rPr>
          <w:bCs/>
        </w:rPr>
      </w:pPr>
      <w:r w:rsidRPr="0015704F">
        <w:rPr>
          <w:bCs/>
        </w:rPr>
        <w:t xml:space="preserve">list of essential requirements (general and specific) of </w:t>
      </w:r>
      <w:r w:rsidR="00D64D3B">
        <w:rPr>
          <w:bCs/>
        </w:rPr>
        <w:t>the I</w:t>
      </w:r>
      <w:r w:rsidRPr="0015704F">
        <w:rPr>
          <w:bCs/>
        </w:rPr>
        <w:t>nteroperability Regulation applicable to the EATMN constituent</w:t>
      </w:r>
    </w:p>
    <w:p w14:paraId="5AB30EC2" w14:textId="77777777" w:rsidR="00D64D3B" w:rsidRDefault="00B461D4" w:rsidP="00D64D3B">
      <w:pPr>
        <w:pStyle w:val="Listaszerbekezds"/>
        <w:numPr>
          <w:ilvl w:val="0"/>
          <w:numId w:val="5"/>
        </w:numPr>
        <w:spacing w:after="120"/>
        <w:contextualSpacing w:val="0"/>
        <w:jc w:val="both"/>
        <w:rPr>
          <w:bCs/>
        </w:rPr>
      </w:pPr>
      <w:r w:rsidRPr="0015704F">
        <w:rPr>
          <w:bCs/>
        </w:rPr>
        <w:t>the reference with identification number and full title of implementing rules applicable to the constituent</w:t>
      </w:r>
    </w:p>
    <w:p w14:paraId="5AB30EC3" w14:textId="2C2C1B74" w:rsidR="00D64D3B" w:rsidRDefault="00B461D4" w:rsidP="00D64D3B">
      <w:pPr>
        <w:pStyle w:val="Listaszerbekezds"/>
        <w:numPr>
          <w:ilvl w:val="0"/>
          <w:numId w:val="5"/>
        </w:numPr>
        <w:spacing w:after="120"/>
        <w:contextualSpacing w:val="0"/>
        <w:jc w:val="both"/>
        <w:rPr>
          <w:bCs/>
        </w:rPr>
      </w:pPr>
      <w:r w:rsidRPr="0015704F">
        <w:rPr>
          <w:bCs/>
        </w:rPr>
        <w:t>the relevant regulatory provisions of those implementing rules on interoperability</w:t>
      </w:r>
      <w:r w:rsidR="00D64D3B" w:rsidRPr="00D64D3B">
        <w:rPr>
          <w:bCs/>
        </w:rPr>
        <w:t xml:space="preserve"> </w:t>
      </w:r>
      <w:r w:rsidR="00D64D3B" w:rsidRPr="0015704F">
        <w:rPr>
          <w:bCs/>
        </w:rPr>
        <w:t>met by the EATMN constituent</w:t>
      </w:r>
      <w:r w:rsidR="00963C32">
        <w:rPr>
          <w:bCs/>
        </w:rPr>
        <w:t xml:space="preserve"> (e</w:t>
      </w:r>
      <w:r w:rsidR="00070013">
        <w:rPr>
          <w:bCs/>
        </w:rPr>
        <w:t>.</w:t>
      </w:r>
      <w:r w:rsidR="00963C32">
        <w:rPr>
          <w:bCs/>
        </w:rPr>
        <w:t>g</w:t>
      </w:r>
      <w:r w:rsidR="00070013">
        <w:rPr>
          <w:bCs/>
        </w:rPr>
        <w:t xml:space="preserve">. </w:t>
      </w:r>
      <w:r w:rsidR="00070013" w:rsidRPr="0015704F">
        <w:rPr>
          <w:bCs/>
        </w:rPr>
        <w:t>standards, guidelines, technical specifications of ICAO, Eurocontrol, Eurocae, EASA</w:t>
      </w:r>
      <w:r w:rsidR="00963C32">
        <w:rPr>
          <w:bCs/>
        </w:rPr>
        <w:t>)</w:t>
      </w:r>
      <w:r w:rsidR="00070013" w:rsidRPr="0015704F">
        <w:rPr>
          <w:bCs/>
        </w:rPr>
        <w:t xml:space="preserve"> included in the applicable implementing rules and </w:t>
      </w:r>
      <w:r w:rsidR="00070013" w:rsidRPr="0015704F">
        <w:rPr>
          <w:bCs/>
        </w:rPr>
        <w:lastRenderedPageBreak/>
        <w:t>thereby being an integral part of the regulatory baseline for conformity assessment of the SES interoperability Regulation</w:t>
      </w:r>
      <w:r w:rsidR="00D64D3B" w:rsidRPr="0015704F">
        <w:rPr>
          <w:bCs/>
        </w:rPr>
        <w:t>.</w:t>
      </w:r>
    </w:p>
    <w:p w14:paraId="5AB30EC5" w14:textId="22712645" w:rsidR="00D64D3B" w:rsidRDefault="00310335" w:rsidP="00A85936">
      <w:pPr>
        <w:pStyle w:val="Listaszerbekezds"/>
        <w:numPr>
          <w:ilvl w:val="2"/>
          <w:numId w:val="1"/>
        </w:numPr>
        <w:spacing w:after="120"/>
        <w:contextualSpacing w:val="0"/>
        <w:jc w:val="both"/>
        <w:rPr>
          <w:bCs/>
        </w:rPr>
      </w:pPr>
      <w:r>
        <w:rPr>
          <w:bCs/>
        </w:rPr>
        <w:tab/>
      </w:r>
      <w:r w:rsidR="00B461D4" w:rsidRPr="0015704F">
        <w:rPr>
          <w:bCs/>
        </w:rPr>
        <w:t>Tenderer/</w:t>
      </w:r>
      <w:r w:rsidR="00B461D4">
        <w:rPr>
          <w:bCs/>
        </w:rPr>
        <w:t>Supplier</w:t>
      </w:r>
      <w:r w:rsidR="00B461D4" w:rsidRPr="0015704F">
        <w:rPr>
          <w:bCs/>
        </w:rPr>
        <w:t xml:space="preserve"> </w:t>
      </w:r>
      <w:r w:rsidR="00B461D4" w:rsidRPr="00D64D3B">
        <w:rPr>
          <w:b/>
          <w:bCs/>
        </w:rPr>
        <w:t>shall</w:t>
      </w:r>
      <w:r w:rsidR="00B461D4" w:rsidRPr="0015704F">
        <w:rPr>
          <w:bCs/>
        </w:rPr>
        <w:t xml:space="preserve"> identify the essential requirements</w:t>
      </w:r>
      <w:r w:rsidR="00D64D3B">
        <w:rPr>
          <w:bCs/>
        </w:rPr>
        <w:t xml:space="preserve"> (general and specific) of the I</w:t>
      </w:r>
      <w:r w:rsidR="00B461D4" w:rsidRPr="0015704F">
        <w:rPr>
          <w:bCs/>
        </w:rPr>
        <w:t xml:space="preserve">nteroperability Regulation as well as the implementing rules and their relevant regulatory provisions applicable to the EATMN constituent and </w:t>
      </w:r>
      <w:r w:rsidR="009477CC" w:rsidRPr="009477CC">
        <w:rPr>
          <w:b/>
          <w:bCs/>
        </w:rPr>
        <w:t>shall</w:t>
      </w:r>
      <w:r w:rsidR="009477CC">
        <w:rPr>
          <w:bCs/>
        </w:rPr>
        <w:t xml:space="preserve"> </w:t>
      </w:r>
      <w:r w:rsidR="00B461D4" w:rsidRPr="0015704F">
        <w:rPr>
          <w:bCs/>
        </w:rPr>
        <w:t xml:space="preserve">warrant that all the regulatory requirements, provisions (the regulatory baseline) applicable to the constituent are identified and the EATMN constituent </w:t>
      </w:r>
      <w:r w:rsidR="00E444DD">
        <w:rPr>
          <w:bCs/>
        </w:rPr>
        <w:t xml:space="preserve">to be </w:t>
      </w:r>
      <w:r w:rsidR="00B461D4" w:rsidRPr="0015704F">
        <w:rPr>
          <w:bCs/>
        </w:rPr>
        <w:t>delivered</w:t>
      </w:r>
      <w:r w:rsidR="00D64D3B">
        <w:rPr>
          <w:bCs/>
        </w:rPr>
        <w:t xml:space="preserve"> </w:t>
      </w:r>
      <w:r w:rsidR="00B461D4" w:rsidRPr="0015704F">
        <w:rPr>
          <w:bCs/>
        </w:rPr>
        <w:t>conforms to regulatory baseline.</w:t>
      </w:r>
    </w:p>
    <w:p w14:paraId="5AB30EC6" w14:textId="672B5889" w:rsidR="00292B1A" w:rsidRPr="003D099E" w:rsidRDefault="007316DC" w:rsidP="003D099E">
      <w:pPr>
        <w:pStyle w:val="Listaszerbekezds"/>
        <w:numPr>
          <w:ilvl w:val="1"/>
          <w:numId w:val="1"/>
        </w:numPr>
        <w:spacing w:after="120"/>
        <w:ind w:left="1134" w:hanging="414"/>
        <w:contextualSpacing w:val="0"/>
        <w:jc w:val="both"/>
        <w:rPr>
          <w:bCs/>
          <w:i/>
        </w:rPr>
      </w:pPr>
      <w:r w:rsidRPr="003D099E">
        <w:rPr>
          <w:bCs/>
          <w:i/>
        </w:rPr>
        <w:t xml:space="preserve">V - </w:t>
      </w:r>
      <w:r w:rsidR="00B461D4" w:rsidRPr="003D099E">
        <w:rPr>
          <w:bCs/>
          <w:i/>
        </w:rPr>
        <w:t>Means of Compliance</w:t>
      </w:r>
    </w:p>
    <w:p w14:paraId="5AB30EC7" w14:textId="7783C3A5" w:rsidR="00292B1A" w:rsidRDefault="00310335" w:rsidP="000E4D70">
      <w:pPr>
        <w:pStyle w:val="Listaszerbekezds"/>
        <w:numPr>
          <w:ilvl w:val="2"/>
          <w:numId w:val="1"/>
        </w:numPr>
        <w:spacing w:after="120"/>
        <w:contextualSpacing w:val="0"/>
        <w:jc w:val="both"/>
        <w:rPr>
          <w:bCs/>
        </w:rPr>
      </w:pPr>
      <w:r>
        <w:rPr>
          <w:bCs/>
        </w:rPr>
        <w:tab/>
      </w:r>
      <w:r w:rsidR="00B461D4" w:rsidRPr="0015704F">
        <w:rPr>
          <w:bCs/>
        </w:rPr>
        <w:t xml:space="preserve">This section </w:t>
      </w:r>
      <w:r w:rsidR="00292B1A">
        <w:rPr>
          <w:bCs/>
        </w:rPr>
        <w:t xml:space="preserve">of the </w:t>
      </w:r>
      <w:r w:rsidR="00292B1A" w:rsidRPr="00B751AB">
        <w:rPr>
          <w:bCs/>
          <w:i/>
        </w:rPr>
        <w:t>Declaration of Conformity (DoC)</w:t>
      </w:r>
      <w:r w:rsidR="00292B1A" w:rsidRPr="0015704F">
        <w:rPr>
          <w:bCs/>
        </w:rPr>
        <w:t xml:space="preserve"> or the </w:t>
      </w:r>
      <w:r w:rsidR="00292B1A" w:rsidRPr="00B751AB">
        <w:rPr>
          <w:bCs/>
          <w:i/>
        </w:rPr>
        <w:t>Declaration of Suitability for Use (DSU)</w:t>
      </w:r>
      <w:r w:rsidR="00292B1A">
        <w:rPr>
          <w:bCs/>
          <w:i/>
        </w:rPr>
        <w:t xml:space="preserve"> </w:t>
      </w:r>
      <w:r w:rsidR="00B461D4" w:rsidRPr="00292B1A">
        <w:rPr>
          <w:b/>
          <w:bCs/>
        </w:rPr>
        <w:t xml:space="preserve">shall </w:t>
      </w:r>
      <w:r w:rsidR="00B461D4" w:rsidRPr="0015704F">
        <w:rPr>
          <w:bCs/>
        </w:rPr>
        <w:t>contain the list of applicable standards, other operational and technical specifications (the Means of Compliance - MoC baseline) with identification number and full title the requirements of which are applied to and complied</w:t>
      </w:r>
      <w:r w:rsidR="00292B1A">
        <w:rPr>
          <w:bCs/>
        </w:rPr>
        <w:t xml:space="preserve"> with by the EATMN constituent.</w:t>
      </w:r>
    </w:p>
    <w:p w14:paraId="5AB30EC8" w14:textId="2A3B9C4C" w:rsidR="00292B1A" w:rsidRPr="00D07D84" w:rsidRDefault="00310335" w:rsidP="00562C67">
      <w:pPr>
        <w:pStyle w:val="Listaszerbekezds"/>
        <w:numPr>
          <w:ilvl w:val="2"/>
          <w:numId w:val="1"/>
        </w:numPr>
        <w:spacing w:after="120"/>
        <w:contextualSpacing w:val="0"/>
        <w:jc w:val="both"/>
        <w:rPr>
          <w:bCs/>
        </w:rPr>
      </w:pPr>
      <w:r>
        <w:rPr>
          <w:bCs/>
        </w:rPr>
        <w:tab/>
      </w:r>
      <w:r w:rsidR="00B461D4" w:rsidRPr="00D07D84">
        <w:rPr>
          <w:bCs/>
        </w:rPr>
        <w:t xml:space="preserve">In case of DoC this section </w:t>
      </w:r>
      <w:r w:rsidR="00B461D4" w:rsidRPr="00D07D84">
        <w:rPr>
          <w:b/>
          <w:bCs/>
        </w:rPr>
        <w:t>shall</w:t>
      </w:r>
      <w:r w:rsidR="00B461D4" w:rsidRPr="00D07D84">
        <w:rPr>
          <w:bCs/>
        </w:rPr>
        <w:t xml:space="preserve"> contain only the Community Specifications to which </w:t>
      </w:r>
      <w:r w:rsidR="00292B1A" w:rsidRPr="00D07D84">
        <w:rPr>
          <w:bCs/>
        </w:rPr>
        <w:t>the EATMN constituent complies.</w:t>
      </w:r>
    </w:p>
    <w:p w14:paraId="5AB30EC9" w14:textId="166786D4" w:rsidR="00292B1A" w:rsidRDefault="00310335" w:rsidP="00D07D84">
      <w:pPr>
        <w:pStyle w:val="Listaszerbekezds"/>
        <w:numPr>
          <w:ilvl w:val="2"/>
          <w:numId w:val="1"/>
        </w:numPr>
        <w:spacing w:after="120"/>
        <w:contextualSpacing w:val="0"/>
        <w:jc w:val="both"/>
        <w:rPr>
          <w:bCs/>
        </w:rPr>
      </w:pPr>
      <w:r>
        <w:rPr>
          <w:bCs/>
        </w:rPr>
        <w:tab/>
      </w:r>
      <w:r w:rsidR="00292B1A">
        <w:rPr>
          <w:bCs/>
        </w:rPr>
        <w:t>I</w:t>
      </w:r>
      <w:r w:rsidR="00B461D4" w:rsidRPr="0015704F">
        <w:rPr>
          <w:bCs/>
        </w:rPr>
        <w:t xml:space="preserve">n case of DSU </w:t>
      </w:r>
      <w:r w:rsidR="00292B1A" w:rsidRPr="0015704F">
        <w:rPr>
          <w:bCs/>
        </w:rPr>
        <w:t xml:space="preserve">this section </w:t>
      </w:r>
      <w:r w:rsidR="00292B1A" w:rsidRPr="00292B1A">
        <w:rPr>
          <w:b/>
          <w:bCs/>
        </w:rPr>
        <w:t>shall</w:t>
      </w:r>
      <w:r w:rsidR="00292B1A" w:rsidRPr="0015704F">
        <w:rPr>
          <w:bCs/>
        </w:rPr>
        <w:t xml:space="preserve"> contain </w:t>
      </w:r>
      <w:r w:rsidR="00B461D4" w:rsidRPr="0015704F">
        <w:rPr>
          <w:bCs/>
        </w:rPr>
        <w:t>other standards, operational and technical specifications</w:t>
      </w:r>
      <w:r w:rsidR="00292B1A">
        <w:rPr>
          <w:bCs/>
        </w:rPr>
        <w:t xml:space="preserve"> </w:t>
      </w:r>
      <w:r w:rsidR="00B461D4" w:rsidRPr="0015704F">
        <w:rPr>
          <w:bCs/>
        </w:rPr>
        <w:t>applied as means of compliance with regulations (regulatory baseline) identified under the "Regulation references" section.</w:t>
      </w:r>
    </w:p>
    <w:p w14:paraId="5AB30ECA" w14:textId="46F8E9D4" w:rsidR="00292B1A" w:rsidRDefault="00310335" w:rsidP="00651DD8">
      <w:pPr>
        <w:pStyle w:val="Listaszerbekezds"/>
        <w:numPr>
          <w:ilvl w:val="2"/>
          <w:numId w:val="1"/>
        </w:numPr>
        <w:spacing w:after="120"/>
        <w:contextualSpacing w:val="0"/>
        <w:jc w:val="both"/>
        <w:rPr>
          <w:bCs/>
        </w:rPr>
      </w:pPr>
      <w:r>
        <w:rPr>
          <w:bCs/>
        </w:rPr>
        <w:tab/>
      </w:r>
      <w:r w:rsidR="00B461D4" w:rsidRPr="0015704F">
        <w:rPr>
          <w:bCs/>
        </w:rPr>
        <w:t>Tenderer/</w:t>
      </w:r>
      <w:r w:rsidR="00B461D4">
        <w:rPr>
          <w:bCs/>
        </w:rPr>
        <w:t>Supplier</w:t>
      </w:r>
      <w:r w:rsidR="00B461D4" w:rsidRPr="0015704F">
        <w:rPr>
          <w:bCs/>
        </w:rPr>
        <w:t xml:space="preserve"> </w:t>
      </w:r>
      <w:r w:rsidR="00B461D4" w:rsidRPr="00292B1A">
        <w:rPr>
          <w:b/>
          <w:bCs/>
        </w:rPr>
        <w:t>shall</w:t>
      </w:r>
      <w:r w:rsidR="00B461D4" w:rsidRPr="0015704F">
        <w:rPr>
          <w:bCs/>
        </w:rPr>
        <w:t xml:space="preserve"> identify the Community Specifications (if any), other standards, operational and technical specifications applicable to the EATMN constituent as means of compliance with the regulatory requirements (the regulatory baseline) identified under section "Regulation references" and </w:t>
      </w:r>
      <w:r w:rsidR="00E754F4" w:rsidRPr="00E754F4">
        <w:rPr>
          <w:b/>
          <w:bCs/>
        </w:rPr>
        <w:t>shall</w:t>
      </w:r>
      <w:r w:rsidR="00E754F4">
        <w:rPr>
          <w:bCs/>
        </w:rPr>
        <w:t xml:space="preserve"> </w:t>
      </w:r>
      <w:r w:rsidR="00B461D4" w:rsidRPr="0015704F">
        <w:rPr>
          <w:bCs/>
        </w:rPr>
        <w:t xml:space="preserve">warrant that all the standards, operational and technical specifications (the means of compliance baseline) applicable to the constituent are identified and the EATMN constituent </w:t>
      </w:r>
      <w:r w:rsidR="00E444DD">
        <w:rPr>
          <w:bCs/>
        </w:rPr>
        <w:t xml:space="preserve">to be </w:t>
      </w:r>
      <w:r w:rsidR="00B461D4" w:rsidRPr="0015704F">
        <w:rPr>
          <w:bCs/>
        </w:rPr>
        <w:t>delivered conforms to the means of compliance baseline.</w:t>
      </w:r>
    </w:p>
    <w:p w14:paraId="5AB30ECB" w14:textId="3384135B" w:rsidR="00292B1A" w:rsidRPr="000C43EE" w:rsidRDefault="00B40B11" w:rsidP="000C43EE">
      <w:pPr>
        <w:pStyle w:val="Listaszerbekezds"/>
        <w:numPr>
          <w:ilvl w:val="1"/>
          <w:numId w:val="1"/>
        </w:numPr>
        <w:spacing w:after="120"/>
        <w:ind w:left="1134" w:hanging="414"/>
        <w:contextualSpacing w:val="0"/>
        <w:jc w:val="both"/>
        <w:rPr>
          <w:bCs/>
          <w:i/>
        </w:rPr>
      </w:pPr>
      <w:r w:rsidRPr="000C43EE">
        <w:rPr>
          <w:bCs/>
          <w:i/>
        </w:rPr>
        <w:t xml:space="preserve">VI - </w:t>
      </w:r>
      <w:r w:rsidR="00B461D4" w:rsidRPr="000C43EE">
        <w:rPr>
          <w:bCs/>
          <w:i/>
        </w:rPr>
        <w:t>Accompanying documents</w:t>
      </w:r>
    </w:p>
    <w:p w14:paraId="5AB30ECC" w14:textId="47E1AF5C" w:rsidR="00292B1A" w:rsidRDefault="00310335" w:rsidP="00B816CA">
      <w:pPr>
        <w:pStyle w:val="Listaszerbekezds"/>
        <w:numPr>
          <w:ilvl w:val="2"/>
          <w:numId w:val="1"/>
        </w:numPr>
        <w:spacing w:after="120"/>
        <w:contextualSpacing w:val="0"/>
        <w:jc w:val="both"/>
        <w:rPr>
          <w:bCs/>
        </w:rPr>
      </w:pPr>
      <w:r>
        <w:rPr>
          <w:bCs/>
        </w:rPr>
        <w:tab/>
      </w:r>
      <w:r w:rsidR="00B461D4" w:rsidRPr="0015704F">
        <w:rPr>
          <w:bCs/>
        </w:rPr>
        <w:t xml:space="preserve">This section </w:t>
      </w:r>
      <w:r w:rsidR="000D359B">
        <w:rPr>
          <w:bCs/>
        </w:rPr>
        <w:t xml:space="preserve">of the </w:t>
      </w:r>
      <w:r w:rsidR="000D359B" w:rsidRPr="007074EB">
        <w:rPr>
          <w:bCs/>
          <w:i/>
        </w:rPr>
        <w:t>Declaration of Conformity (DoC)</w:t>
      </w:r>
      <w:r w:rsidR="000D359B" w:rsidRPr="0015704F">
        <w:rPr>
          <w:bCs/>
        </w:rPr>
        <w:t xml:space="preserve"> or </w:t>
      </w:r>
      <w:r w:rsidR="000D359B" w:rsidRPr="007074EB">
        <w:rPr>
          <w:bCs/>
          <w:i/>
        </w:rPr>
        <w:t>Declaration of Suitability for Use (DSU)</w:t>
      </w:r>
      <w:r w:rsidR="000D359B">
        <w:rPr>
          <w:bCs/>
          <w:i/>
        </w:rPr>
        <w:t xml:space="preserve"> </w:t>
      </w:r>
      <w:r w:rsidR="00B461D4" w:rsidRPr="007074EB">
        <w:rPr>
          <w:b/>
          <w:bCs/>
        </w:rPr>
        <w:t>shall</w:t>
      </w:r>
      <w:r w:rsidR="00B461D4" w:rsidRPr="0015704F">
        <w:rPr>
          <w:bCs/>
        </w:rPr>
        <w:t xml:space="preserve"> contain the list of documents to be delivered with the</w:t>
      </w:r>
      <w:r w:rsidR="000D359B">
        <w:rPr>
          <w:bCs/>
        </w:rPr>
        <w:t xml:space="preserve"> DoC or DSU</w:t>
      </w:r>
      <w:r w:rsidR="00B461D4" w:rsidRPr="0015704F">
        <w:rPr>
          <w:bCs/>
        </w:rPr>
        <w:t>.</w:t>
      </w:r>
    </w:p>
    <w:p w14:paraId="5AB30ECD" w14:textId="1DC58687" w:rsidR="007074EB" w:rsidRDefault="00B816CA" w:rsidP="00B816CA">
      <w:pPr>
        <w:pStyle w:val="Listaszerbekezds"/>
        <w:numPr>
          <w:ilvl w:val="2"/>
          <w:numId w:val="1"/>
        </w:numPr>
        <w:spacing w:after="120"/>
        <w:contextualSpacing w:val="0"/>
        <w:jc w:val="both"/>
        <w:rPr>
          <w:bCs/>
        </w:rPr>
      </w:pPr>
      <w:r>
        <w:rPr>
          <w:bCs/>
        </w:rPr>
        <w:t xml:space="preserve"> </w:t>
      </w:r>
      <w:r w:rsidR="00B461D4" w:rsidRPr="0015704F">
        <w:rPr>
          <w:bCs/>
        </w:rPr>
        <w:t xml:space="preserve">In case of DSU the accompanying documents </w:t>
      </w:r>
      <w:r w:rsidR="00B461D4" w:rsidRPr="007074EB">
        <w:rPr>
          <w:b/>
          <w:bCs/>
        </w:rPr>
        <w:t>shall</w:t>
      </w:r>
      <w:r w:rsidR="00B461D4" w:rsidRPr="0015704F">
        <w:rPr>
          <w:bCs/>
        </w:rPr>
        <w:t xml:space="preserve"> contain traceability to the requirements that were used for conformity assessment as determined by the regulatory and means of compliance </w:t>
      </w:r>
      <w:r w:rsidR="007074EB">
        <w:rPr>
          <w:bCs/>
        </w:rPr>
        <w:t>baseline.</w:t>
      </w:r>
    </w:p>
    <w:p w14:paraId="5AB30ECE" w14:textId="09B43EFC" w:rsidR="007074EB" w:rsidRDefault="00310335" w:rsidP="00B816CA">
      <w:pPr>
        <w:pStyle w:val="Listaszerbekezds"/>
        <w:numPr>
          <w:ilvl w:val="2"/>
          <w:numId w:val="1"/>
        </w:numPr>
        <w:spacing w:after="120"/>
        <w:contextualSpacing w:val="0"/>
        <w:jc w:val="both"/>
        <w:rPr>
          <w:bCs/>
        </w:rPr>
      </w:pPr>
      <w:r>
        <w:rPr>
          <w:bCs/>
        </w:rPr>
        <w:tab/>
      </w:r>
      <w:r w:rsidR="00B461D4" w:rsidRPr="0015704F">
        <w:rPr>
          <w:bCs/>
        </w:rPr>
        <w:t xml:space="preserve">The traceability to the requirements </w:t>
      </w:r>
      <w:r w:rsidR="007074EB" w:rsidRPr="007074EB">
        <w:rPr>
          <w:b/>
          <w:bCs/>
        </w:rPr>
        <w:t>shall</w:t>
      </w:r>
      <w:r w:rsidR="00B461D4" w:rsidRPr="0015704F">
        <w:rPr>
          <w:bCs/>
        </w:rPr>
        <w:t xml:space="preserve"> be documented in the form of a compliance matrix.</w:t>
      </w:r>
    </w:p>
    <w:p w14:paraId="5AB30ECF" w14:textId="6F6E1D49" w:rsidR="007074EB" w:rsidRDefault="00310335" w:rsidP="004C5BBE">
      <w:pPr>
        <w:pStyle w:val="Listaszerbekezds"/>
        <w:numPr>
          <w:ilvl w:val="2"/>
          <w:numId w:val="1"/>
        </w:numPr>
        <w:spacing w:after="120"/>
        <w:contextualSpacing w:val="0"/>
        <w:jc w:val="both"/>
        <w:rPr>
          <w:bCs/>
        </w:rPr>
      </w:pPr>
      <w:r>
        <w:rPr>
          <w:bCs/>
        </w:rPr>
        <w:tab/>
      </w:r>
      <w:r w:rsidR="00B461D4" w:rsidRPr="0015704F">
        <w:rPr>
          <w:bCs/>
        </w:rPr>
        <w:t xml:space="preserve">The accompanying documents for the DSU </w:t>
      </w:r>
      <w:r w:rsidR="00B461D4" w:rsidRPr="007074EB">
        <w:rPr>
          <w:b/>
          <w:bCs/>
        </w:rPr>
        <w:t>shall</w:t>
      </w:r>
      <w:r w:rsidR="00B461D4" w:rsidRPr="0015704F">
        <w:rPr>
          <w:bCs/>
        </w:rPr>
        <w:t xml:space="preserve"> contain a rationale supporting the justification of compliance to the general and specific essential requirements listed in ANN</w:t>
      </w:r>
      <w:r w:rsidR="007074EB">
        <w:rPr>
          <w:bCs/>
        </w:rPr>
        <w:t>EX II Part A and Part B of the I</w:t>
      </w:r>
      <w:r w:rsidR="00B461D4" w:rsidRPr="0015704F">
        <w:rPr>
          <w:bCs/>
        </w:rPr>
        <w:t xml:space="preserve">nteroperability Regulation and specific requirements contained in the relevant implementing rules for interoperability (if any) in the form of </w:t>
      </w:r>
      <w:r w:rsidR="00B461D4" w:rsidRPr="0015704F">
        <w:rPr>
          <w:bCs/>
        </w:rPr>
        <w:lastRenderedPageBreak/>
        <w:t>comp</w:t>
      </w:r>
      <w:r w:rsidR="00B461D4">
        <w:rPr>
          <w:bCs/>
        </w:rPr>
        <w:t>l</w:t>
      </w:r>
      <w:r w:rsidR="00B461D4" w:rsidRPr="0015704F">
        <w:rPr>
          <w:bCs/>
        </w:rPr>
        <w:t>iance matrix when standards other than Community Specifications are used as means of compliance.</w:t>
      </w:r>
    </w:p>
    <w:p w14:paraId="5AB30ED0" w14:textId="565FA1D2" w:rsidR="007074EB" w:rsidRDefault="00310335" w:rsidP="004C5BBE">
      <w:pPr>
        <w:pStyle w:val="Listaszerbekezds"/>
        <w:numPr>
          <w:ilvl w:val="2"/>
          <w:numId w:val="1"/>
        </w:numPr>
        <w:spacing w:after="120"/>
        <w:contextualSpacing w:val="0"/>
        <w:jc w:val="both"/>
        <w:rPr>
          <w:lang w:val="en-GB"/>
        </w:rPr>
      </w:pPr>
      <w:r>
        <w:rPr>
          <w:bCs/>
        </w:rPr>
        <w:tab/>
      </w:r>
      <w:r w:rsidR="00B461D4" w:rsidRPr="0015704F">
        <w:rPr>
          <w:bCs/>
        </w:rPr>
        <w:t>For the comp</w:t>
      </w:r>
      <w:r w:rsidR="00B461D4">
        <w:rPr>
          <w:bCs/>
        </w:rPr>
        <w:t>l</w:t>
      </w:r>
      <w:r w:rsidR="00B461D4" w:rsidRPr="0015704F">
        <w:rPr>
          <w:bCs/>
        </w:rPr>
        <w:t>iance matrix for conformity with general and specific essential requirements listed in ANN</w:t>
      </w:r>
      <w:r w:rsidR="007074EB">
        <w:rPr>
          <w:bCs/>
        </w:rPr>
        <w:t>EX II Part A and Part B of the I</w:t>
      </w:r>
      <w:r w:rsidR="00B461D4" w:rsidRPr="0015704F">
        <w:rPr>
          <w:bCs/>
        </w:rPr>
        <w:t>nteroperability Regulation the template</w:t>
      </w:r>
      <w:r w:rsidR="00B461D4" w:rsidRPr="0015704F">
        <w:rPr>
          <w:lang w:val="en-GB"/>
        </w:rPr>
        <w:t xml:space="preserve"> </w:t>
      </w:r>
      <w:r w:rsidR="00E70634" w:rsidRPr="0015704F">
        <w:rPr>
          <w:lang w:val="en-GB"/>
        </w:rPr>
        <w:t xml:space="preserve">("Verification of Compliance Matrix", Version 1.0 </w:t>
      </w:r>
      <w:r w:rsidR="00E70634" w:rsidRPr="0015704F">
        <w:rPr>
          <w:bCs/>
        </w:rPr>
        <w:t>or latest valid at the time of delivering the DoC or DSU</w:t>
      </w:r>
      <w:r w:rsidR="00E70634">
        <w:rPr>
          <w:lang w:val="en-GB"/>
        </w:rPr>
        <w:t xml:space="preserve">) </w:t>
      </w:r>
      <w:r w:rsidR="00B461D4" w:rsidRPr="0015704F">
        <w:rPr>
          <w:lang w:val="en-GB"/>
        </w:rPr>
        <w:t>referenced in the</w:t>
      </w:r>
      <w:r w:rsidR="001403E1">
        <w:rPr>
          <w:lang w:val="en-GB"/>
        </w:rPr>
        <w:t xml:space="preserve"> </w:t>
      </w:r>
      <w:hyperlink r:id="rId17" w:history="1">
        <w:r w:rsidR="001403E1" w:rsidRPr="001403E1">
          <w:rPr>
            <w:rStyle w:val="Hiperhivatkozs"/>
            <w:bCs/>
          </w:rPr>
          <w:t>EUROCONTROL Guidelines</w:t>
        </w:r>
      </w:hyperlink>
      <w:r w:rsidR="001403E1">
        <w:rPr>
          <w:lang w:val="en-GB"/>
        </w:rPr>
        <w:t xml:space="preserve"> </w:t>
      </w:r>
      <w:r w:rsidR="00B461D4" w:rsidRPr="007074EB">
        <w:rPr>
          <w:b/>
          <w:lang w:val="en-GB"/>
        </w:rPr>
        <w:t>shall</w:t>
      </w:r>
      <w:r w:rsidR="00B461D4" w:rsidRPr="0015704F">
        <w:rPr>
          <w:lang w:val="en-GB"/>
        </w:rPr>
        <w:t xml:space="preserve"> be used</w:t>
      </w:r>
      <w:r w:rsidR="007074EB">
        <w:rPr>
          <w:lang w:val="en-GB"/>
        </w:rPr>
        <w:t>.</w:t>
      </w:r>
    </w:p>
    <w:p w14:paraId="5AB30ED1" w14:textId="77777777" w:rsidR="007074EB" w:rsidRDefault="007074EB" w:rsidP="0046487F">
      <w:pPr>
        <w:pStyle w:val="Listaszerbekezds"/>
        <w:spacing w:after="120"/>
        <w:ind w:left="1225"/>
        <w:contextualSpacing w:val="0"/>
        <w:jc w:val="both"/>
        <w:rPr>
          <w:lang w:val="en-GB"/>
        </w:rPr>
      </w:pPr>
      <w:r>
        <w:rPr>
          <w:lang w:val="en-GB"/>
        </w:rPr>
        <w:t xml:space="preserve">NOTE: </w:t>
      </w:r>
      <w:r w:rsidR="00B461D4" w:rsidRPr="0015704F">
        <w:rPr>
          <w:bCs/>
        </w:rPr>
        <w:t>The</w:t>
      </w:r>
      <w:r w:rsidR="00B461D4" w:rsidRPr="0015704F">
        <w:rPr>
          <w:lang w:val="en-GB"/>
        </w:rPr>
        <w:t xml:space="preserve"> template</w:t>
      </w:r>
      <w:r w:rsidR="00B461D4">
        <w:rPr>
          <w:lang w:val="en-GB"/>
        </w:rPr>
        <w:t xml:space="preserve"> can </w:t>
      </w:r>
      <w:r w:rsidR="00B461D4" w:rsidRPr="007074EB">
        <w:rPr>
          <w:bCs/>
        </w:rPr>
        <w:t>be</w:t>
      </w:r>
      <w:r w:rsidR="00B461D4">
        <w:rPr>
          <w:lang w:val="en-GB"/>
        </w:rPr>
        <w:t xml:space="preserve"> downloaded from the Eurocontrol website </w:t>
      </w:r>
      <w:hyperlink r:id="rId18" w:history="1">
        <w:r w:rsidR="00B461D4" w:rsidRPr="005513DF">
          <w:rPr>
            <w:rStyle w:val="Hiperhivatkozs"/>
            <w:lang w:val="en-GB"/>
          </w:rPr>
          <w:t>http://www.eurocontrol.int/articles/conformity-assessment</w:t>
        </w:r>
      </w:hyperlink>
      <w:r w:rsidR="00B461D4" w:rsidRPr="005513DF">
        <w:rPr>
          <w:lang w:val="en-GB"/>
        </w:rPr>
        <w:t xml:space="preserve"> </w:t>
      </w:r>
      <w:r w:rsidR="00B461D4">
        <w:rPr>
          <w:lang w:val="en-GB"/>
        </w:rPr>
        <w:t xml:space="preserve">or will be sent to the </w:t>
      </w:r>
      <w:r w:rsidR="00B461D4" w:rsidRPr="00A642FB">
        <w:rPr>
          <w:bCs/>
        </w:rPr>
        <w:t>Tenderer/</w:t>
      </w:r>
      <w:r w:rsidR="00B461D4">
        <w:rPr>
          <w:bCs/>
        </w:rPr>
        <w:t xml:space="preserve">Supplier </w:t>
      </w:r>
      <w:r w:rsidR="00B461D4" w:rsidRPr="005513DF">
        <w:rPr>
          <w:bCs/>
        </w:rPr>
        <w:t xml:space="preserve">upon </w:t>
      </w:r>
      <w:r w:rsidR="00B461D4" w:rsidRPr="008D6E28">
        <w:rPr>
          <w:bCs/>
        </w:rPr>
        <w:t>request</w:t>
      </w:r>
      <w:r w:rsidR="00B461D4" w:rsidRPr="008D6E28">
        <w:rPr>
          <w:lang w:val="en-GB"/>
        </w:rPr>
        <w:t>.</w:t>
      </w:r>
    </w:p>
    <w:p w14:paraId="5AB30ED2" w14:textId="67675AB3" w:rsidR="007074EB" w:rsidRPr="00323B72" w:rsidRDefault="00310335" w:rsidP="00323B72">
      <w:pPr>
        <w:pStyle w:val="Listaszerbekezds"/>
        <w:numPr>
          <w:ilvl w:val="2"/>
          <w:numId w:val="1"/>
        </w:numPr>
        <w:spacing w:after="120"/>
        <w:contextualSpacing w:val="0"/>
        <w:jc w:val="both"/>
        <w:rPr>
          <w:bCs/>
        </w:rPr>
      </w:pPr>
      <w:r>
        <w:rPr>
          <w:lang w:val="en-GB"/>
        </w:rPr>
        <w:tab/>
      </w:r>
      <w:r w:rsidR="00B461D4" w:rsidRPr="00323B72">
        <w:rPr>
          <w:lang w:val="en-GB"/>
        </w:rPr>
        <w:t xml:space="preserve">Separate compliance matrix </w:t>
      </w:r>
      <w:r w:rsidR="00B461D4" w:rsidRPr="00323B72">
        <w:rPr>
          <w:b/>
          <w:lang w:val="en-GB"/>
        </w:rPr>
        <w:t>shall</w:t>
      </w:r>
      <w:r w:rsidR="00B461D4" w:rsidRPr="00323B72">
        <w:rPr>
          <w:lang w:val="en-GB"/>
        </w:rPr>
        <w:t xml:space="preserve"> be </w:t>
      </w:r>
      <w:r w:rsidR="00B461D4" w:rsidRPr="00323B72">
        <w:rPr>
          <w:bCs/>
        </w:rPr>
        <w:t>provided</w:t>
      </w:r>
      <w:r w:rsidR="00B461D4" w:rsidRPr="00323B72">
        <w:rPr>
          <w:lang w:val="en-GB"/>
        </w:rPr>
        <w:t xml:space="preserve"> for all </w:t>
      </w:r>
      <w:r w:rsidR="00B461D4" w:rsidRPr="00323B72">
        <w:rPr>
          <w:bCs/>
        </w:rPr>
        <w:t>specific requirements contained in the relevant implementing rule(s) for interoperability (if any) related to the EATMN constituents to be delivered.</w:t>
      </w:r>
    </w:p>
    <w:p w14:paraId="5AB30ED3" w14:textId="029CDAF5" w:rsidR="007074EB" w:rsidRDefault="00310335" w:rsidP="00BF24A2">
      <w:pPr>
        <w:pStyle w:val="Listaszerbekezds"/>
        <w:numPr>
          <w:ilvl w:val="2"/>
          <w:numId w:val="1"/>
        </w:numPr>
        <w:spacing w:after="120"/>
        <w:contextualSpacing w:val="0"/>
        <w:jc w:val="both"/>
        <w:rPr>
          <w:bCs/>
        </w:rPr>
      </w:pPr>
      <w:r>
        <w:rPr>
          <w:bCs/>
        </w:rPr>
        <w:tab/>
      </w:r>
      <w:r w:rsidR="00B461D4" w:rsidRPr="002C070E">
        <w:rPr>
          <w:bCs/>
        </w:rPr>
        <w:t xml:space="preserve">This compliance matrix </w:t>
      </w:r>
      <w:r w:rsidR="00B461D4" w:rsidRPr="007074EB">
        <w:rPr>
          <w:b/>
          <w:bCs/>
        </w:rPr>
        <w:t>shall</w:t>
      </w:r>
      <w:r w:rsidR="00B461D4" w:rsidRPr="002C070E">
        <w:rPr>
          <w:bCs/>
        </w:rPr>
        <w:t xml:space="preserve"> contain at least the following information:</w:t>
      </w:r>
    </w:p>
    <w:p w14:paraId="5AB30ED4" w14:textId="77777777" w:rsidR="007074EB" w:rsidRDefault="00B461D4" w:rsidP="007074EB">
      <w:pPr>
        <w:pStyle w:val="Listaszerbekezds"/>
        <w:numPr>
          <w:ilvl w:val="0"/>
          <w:numId w:val="7"/>
        </w:numPr>
        <w:spacing w:after="120"/>
        <w:contextualSpacing w:val="0"/>
        <w:jc w:val="both"/>
        <w:rPr>
          <w:bCs/>
        </w:rPr>
      </w:pPr>
      <w:r w:rsidRPr="002C070E">
        <w:rPr>
          <w:bCs/>
        </w:rPr>
        <w:t>the reference with identification number and full title of the relevant implementing rule(s),</w:t>
      </w:r>
    </w:p>
    <w:p w14:paraId="5AB30ED5" w14:textId="77777777" w:rsidR="007074EB" w:rsidRDefault="00B461D4" w:rsidP="007074EB">
      <w:pPr>
        <w:pStyle w:val="Listaszerbekezds"/>
        <w:numPr>
          <w:ilvl w:val="0"/>
          <w:numId w:val="7"/>
        </w:numPr>
        <w:spacing w:after="120"/>
        <w:contextualSpacing w:val="0"/>
        <w:jc w:val="both"/>
        <w:rPr>
          <w:bCs/>
        </w:rPr>
      </w:pPr>
      <w:r w:rsidRPr="002C070E">
        <w:rPr>
          <w:bCs/>
        </w:rPr>
        <w:t>the identification and text of relevant regulatory provisions, requirements,</w:t>
      </w:r>
    </w:p>
    <w:p w14:paraId="5AB30ED6" w14:textId="77777777" w:rsidR="007074EB" w:rsidRDefault="00B461D4" w:rsidP="007074EB">
      <w:pPr>
        <w:pStyle w:val="Listaszerbekezds"/>
        <w:numPr>
          <w:ilvl w:val="0"/>
          <w:numId w:val="7"/>
        </w:numPr>
        <w:spacing w:after="120"/>
        <w:contextualSpacing w:val="0"/>
        <w:jc w:val="both"/>
        <w:rPr>
          <w:bCs/>
        </w:rPr>
      </w:pPr>
      <w:r w:rsidRPr="002C070E">
        <w:rPr>
          <w:bCs/>
        </w:rPr>
        <w:t>the result of verification of compliance (OK/NOK),</w:t>
      </w:r>
    </w:p>
    <w:p w14:paraId="5AB30ED7" w14:textId="77777777" w:rsidR="007074EB" w:rsidRDefault="00B461D4" w:rsidP="007074EB">
      <w:pPr>
        <w:pStyle w:val="Listaszerbekezds"/>
        <w:numPr>
          <w:ilvl w:val="0"/>
          <w:numId w:val="7"/>
        </w:numPr>
        <w:spacing w:after="120"/>
        <w:contextualSpacing w:val="0"/>
        <w:jc w:val="both"/>
        <w:rPr>
          <w:bCs/>
        </w:rPr>
      </w:pPr>
      <w:r w:rsidRPr="002C070E">
        <w:rPr>
          <w:bCs/>
        </w:rPr>
        <w:t>evidence supporting verification of compliance.</w:t>
      </w:r>
    </w:p>
    <w:p w14:paraId="5AB30ED8" w14:textId="77777777" w:rsidR="007074EB" w:rsidRDefault="007074EB" w:rsidP="007074EB">
      <w:pPr>
        <w:pStyle w:val="Listaszerbekezds"/>
        <w:spacing w:after="120"/>
        <w:ind w:left="993"/>
        <w:contextualSpacing w:val="0"/>
        <w:jc w:val="both"/>
        <w:rPr>
          <w:bCs/>
        </w:rPr>
      </w:pPr>
      <w:r>
        <w:rPr>
          <w:bCs/>
        </w:rPr>
        <w:t xml:space="preserve">NOTE: </w:t>
      </w:r>
      <w:r w:rsidR="00B461D4" w:rsidRPr="002C070E">
        <w:rPr>
          <w:bCs/>
        </w:rPr>
        <w:t>In case a Community Specification indicated in the DoC is applied, there is no need for such compliance matrix as the Community Specification already includes a similar traceability table with the Essential Requirements and/or relevant Implementing Rules for interoperability.</w:t>
      </w:r>
    </w:p>
    <w:p w14:paraId="5AB30ED9" w14:textId="24B2A08E" w:rsidR="007074EB" w:rsidRDefault="00310335" w:rsidP="00967E00">
      <w:pPr>
        <w:pStyle w:val="Listaszerbekezds"/>
        <w:numPr>
          <w:ilvl w:val="2"/>
          <w:numId w:val="1"/>
        </w:numPr>
        <w:spacing w:after="120"/>
        <w:contextualSpacing w:val="0"/>
        <w:jc w:val="both"/>
        <w:rPr>
          <w:lang w:val="en-GB"/>
        </w:rPr>
      </w:pPr>
      <w:r>
        <w:rPr>
          <w:lang w:val="en-GB"/>
        </w:rPr>
        <w:tab/>
      </w:r>
      <w:r w:rsidR="00B461D4" w:rsidRPr="00C04BF8">
        <w:rPr>
          <w:lang w:val="en-GB"/>
        </w:rPr>
        <w:t xml:space="preserve">For the requirements of the </w:t>
      </w:r>
      <w:r w:rsidR="00B461D4" w:rsidRPr="007074EB">
        <w:rPr>
          <w:bCs/>
        </w:rPr>
        <w:t>identified</w:t>
      </w:r>
      <w:r w:rsidR="00B461D4" w:rsidRPr="00C04BF8">
        <w:rPr>
          <w:lang w:val="en-GB"/>
        </w:rPr>
        <w:t xml:space="preserve"> means of compliance (MoC) applicable to the EATMN</w:t>
      </w:r>
      <w:r w:rsidR="00B461D4" w:rsidRPr="00C04BF8">
        <w:rPr>
          <w:bCs/>
        </w:rPr>
        <w:t xml:space="preserve"> </w:t>
      </w:r>
      <w:r w:rsidR="00B461D4" w:rsidRPr="00C04BF8">
        <w:rPr>
          <w:lang w:val="en-GB"/>
        </w:rPr>
        <w:t xml:space="preserve">constituent to be </w:t>
      </w:r>
      <w:r w:rsidR="00101475">
        <w:rPr>
          <w:lang w:val="en-GB"/>
        </w:rPr>
        <w:t>delivered</w:t>
      </w:r>
      <w:r w:rsidR="00101475" w:rsidRPr="00C04BF8">
        <w:rPr>
          <w:lang w:val="en-GB"/>
        </w:rPr>
        <w:t xml:space="preserve"> </w:t>
      </w:r>
      <w:r w:rsidR="00B461D4" w:rsidRPr="00C04BF8">
        <w:rPr>
          <w:lang w:val="en-GB"/>
        </w:rPr>
        <w:t xml:space="preserve">by the </w:t>
      </w:r>
      <w:r w:rsidR="00B461D4">
        <w:rPr>
          <w:lang w:val="en-GB"/>
        </w:rPr>
        <w:t>Tenderer/Supplier</w:t>
      </w:r>
      <w:r w:rsidR="00B461D4" w:rsidRPr="00C04BF8">
        <w:rPr>
          <w:lang w:val="en-GB"/>
        </w:rPr>
        <w:t xml:space="preserve"> the following information </w:t>
      </w:r>
      <w:r w:rsidR="007074EB" w:rsidRPr="007074EB">
        <w:rPr>
          <w:b/>
          <w:lang w:val="en-GB"/>
        </w:rPr>
        <w:t>shall</w:t>
      </w:r>
      <w:r w:rsidR="00B461D4" w:rsidRPr="00C04BF8">
        <w:rPr>
          <w:lang w:val="en-GB"/>
        </w:rPr>
        <w:t xml:space="preserve"> be provided as part of a compliance matrix for each means of compliance (MoC):</w:t>
      </w:r>
    </w:p>
    <w:p w14:paraId="5AB30EDA" w14:textId="77777777" w:rsidR="007074EB" w:rsidRPr="007074EB" w:rsidRDefault="00B461D4" w:rsidP="007074EB">
      <w:pPr>
        <w:pStyle w:val="Listaszerbekezds"/>
        <w:numPr>
          <w:ilvl w:val="0"/>
          <w:numId w:val="8"/>
        </w:numPr>
        <w:spacing w:after="120"/>
        <w:contextualSpacing w:val="0"/>
        <w:jc w:val="both"/>
        <w:rPr>
          <w:bCs/>
        </w:rPr>
      </w:pPr>
      <w:r w:rsidRPr="00C04BF8">
        <w:rPr>
          <w:lang w:val="en-GB"/>
        </w:rPr>
        <w:t>the con</w:t>
      </w:r>
      <w:r w:rsidRPr="007074EB">
        <w:rPr>
          <w:bCs/>
        </w:rPr>
        <w:t>stituent,</w:t>
      </w:r>
    </w:p>
    <w:p w14:paraId="5AB30EDB" w14:textId="77777777" w:rsidR="007074EB" w:rsidRPr="007074EB" w:rsidRDefault="00B461D4" w:rsidP="007074EB">
      <w:pPr>
        <w:pStyle w:val="Listaszerbekezds"/>
        <w:numPr>
          <w:ilvl w:val="0"/>
          <w:numId w:val="8"/>
        </w:numPr>
        <w:spacing w:after="120"/>
        <w:contextualSpacing w:val="0"/>
        <w:jc w:val="both"/>
        <w:rPr>
          <w:bCs/>
        </w:rPr>
      </w:pPr>
      <w:r w:rsidRPr="00C04BF8">
        <w:rPr>
          <w:bCs/>
        </w:rPr>
        <w:t>the identification and text of relevant requirements</w:t>
      </w:r>
      <w:r w:rsidRPr="007074EB">
        <w:rPr>
          <w:bCs/>
        </w:rPr>
        <w:t>,</w:t>
      </w:r>
    </w:p>
    <w:p w14:paraId="5AB30EDC" w14:textId="77777777" w:rsidR="007074EB" w:rsidRPr="007074EB" w:rsidRDefault="00B461D4" w:rsidP="007074EB">
      <w:pPr>
        <w:pStyle w:val="Listaszerbekezds"/>
        <w:numPr>
          <w:ilvl w:val="0"/>
          <w:numId w:val="8"/>
        </w:numPr>
        <w:spacing w:after="120"/>
        <w:contextualSpacing w:val="0"/>
        <w:jc w:val="both"/>
        <w:rPr>
          <w:bCs/>
        </w:rPr>
      </w:pPr>
      <w:r w:rsidRPr="007074EB">
        <w:rPr>
          <w:bCs/>
        </w:rPr>
        <w:t>verification method,</w:t>
      </w:r>
    </w:p>
    <w:p w14:paraId="5AB30EDD" w14:textId="77777777" w:rsidR="007074EB" w:rsidRPr="007074EB" w:rsidRDefault="00B461D4" w:rsidP="007074EB">
      <w:pPr>
        <w:pStyle w:val="Listaszerbekezds"/>
        <w:numPr>
          <w:ilvl w:val="0"/>
          <w:numId w:val="8"/>
        </w:numPr>
        <w:spacing w:after="120"/>
        <w:contextualSpacing w:val="0"/>
        <w:jc w:val="both"/>
        <w:rPr>
          <w:bCs/>
        </w:rPr>
      </w:pPr>
      <w:r w:rsidRPr="00C04BF8">
        <w:rPr>
          <w:bCs/>
        </w:rPr>
        <w:t>the result of verification of compliance (OK/NOK)</w:t>
      </w:r>
      <w:r w:rsidRPr="007074EB">
        <w:rPr>
          <w:bCs/>
        </w:rPr>
        <w:t>,</w:t>
      </w:r>
    </w:p>
    <w:p w14:paraId="5AB30EDE" w14:textId="77777777" w:rsidR="007074EB" w:rsidRDefault="00B461D4" w:rsidP="007074EB">
      <w:pPr>
        <w:pStyle w:val="Listaszerbekezds"/>
        <w:numPr>
          <w:ilvl w:val="0"/>
          <w:numId w:val="8"/>
        </w:numPr>
        <w:spacing w:after="120"/>
        <w:contextualSpacing w:val="0"/>
        <w:jc w:val="both"/>
        <w:rPr>
          <w:lang w:val="en-GB"/>
        </w:rPr>
      </w:pPr>
      <w:r w:rsidRPr="00C04BF8">
        <w:rPr>
          <w:bCs/>
        </w:rPr>
        <w:t>evidence supporting verification of compliance</w:t>
      </w:r>
      <w:r w:rsidRPr="007074EB">
        <w:rPr>
          <w:bCs/>
        </w:rPr>
        <w:t xml:space="preserve"> (reference to the verification procedure/result, e.g. test case/test re</w:t>
      </w:r>
      <w:r w:rsidRPr="00C04BF8">
        <w:rPr>
          <w:lang w:val="en-GB"/>
        </w:rPr>
        <w:t>sult).</w:t>
      </w:r>
    </w:p>
    <w:p w14:paraId="5AB30EDF" w14:textId="03C14A3C" w:rsidR="007074EB" w:rsidRPr="007074EB" w:rsidRDefault="00310335" w:rsidP="005B463B">
      <w:pPr>
        <w:pStyle w:val="Listaszerbekezds"/>
        <w:numPr>
          <w:ilvl w:val="2"/>
          <w:numId w:val="1"/>
        </w:numPr>
        <w:spacing w:after="120"/>
        <w:contextualSpacing w:val="0"/>
        <w:jc w:val="both"/>
        <w:rPr>
          <w:lang w:val="en-GB"/>
        </w:rPr>
      </w:pPr>
      <w:r>
        <w:rPr>
          <w:bCs/>
        </w:rPr>
        <w:tab/>
      </w:r>
      <w:r w:rsidR="00B461D4" w:rsidRPr="00C04BF8">
        <w:rPr>
          <w:bCs/>
        </w:rPr>
        <w:t xml:space="preserve">These compliance matrixes </w:t>
      </w:r>
      <w:r w:rsidR="00B461D4" w:rsidRPr="007074EB">
        <w:rPr>
          <w:b/>
          <w:bCs/>
        </w:rPr>
        <w:t>shall</w:t>
      </w:r>
      <w:r w:rsidR="00B461D4" w:rsidRPr="00C04BF8">
        <w:rPr>
          <w:bCs/>
        </w:rPr>
        <w:t xml:space="preserve"> be d</w:t>
      </w:r>
      <w:r w:rsidR="00B461D4" w:rsidRPr="007074EB">
        <w:rPr>
          <w:lang w:val="en-GB"/>
        </w:rPr>
        <w:t xml:space="preserve">elivered with the EC declarations and they </w:t>
      </w:r>
      <w:r w:rsidR="00B461D4" w:rsidRPr="005B463B">
        <w:rPr>
          <w:b/>
          <w:lang w:val="en-GB"/>
        </w:rPr>
        <w:t>shall</w:t>
      </w:r>
      <w:r w:rsidR="00B461D4" w:rsidRPr="007074EB">
        <w:rPr>
          <w:lang w:val="en-GB"/>
        </w:rPr>
        <w:t xml:space="preserve"> be part of and listed in the accompanying documents.</w:t>
      </w:r>
    </w:p>
    <w:p w14:paraId="5AB30EE0" w14:textId="5D6B4A9B" w:rsidR="007074EB" w:rsidRDefault="00B461D4" w:rsidP="005B463B">
      <w:pPr>
        <w:pStyle w:val="Listaszerbekezds"/>
        <w:numPr>
          <w:ilvl w:val="2"/>
          <w:numId w:val="1"/>
        </w:numPr>
        <w:spacing w:after="120"/>
        <w:contextualSpacing w:val="0"/>
        <w:jc w:val="both"/>
        <w:rPr>
          <w:lang w:val="en-GB"/>
        </w:rPr>
      </w:pPr>
      <w:r w:rsidRPr="00C04BF8">
        <w:rPr>
          <w:lang w:val="en-GB"/>
        </w:rPr>
        <w:t>The information referenced in the compliance matri</w:t>
      </w:r>
      <w:r>
        <w:rPr>
          <w:lang w:val="en-GB"/>
        </w:rPr>
        <w:t>x</w:t>
      </w:r>
      <w:r w:rsidRPr="00C04BF8">
        <w:rPr>
          <w:lang w:val="en-GB"/>
        </w:rPr>
        <w:t xml:space="preserve">es </w:t>
      </w:r>
      <w:r w:rsidRPr="007074EB">
        <w:rPr>
          <w:b/>
          <w:lang w:val="en-GB"/>
        </w:rPr>
        <w:t>shall</w:t>
      </w:r>
      <w:r w:rsidRPr="00C04BF8">
        <w:rPr>
          <w:lang w:val="en-GB"/>
        </w:rPr>
        <w:t xml:space="preserve"> be made available upon request.</w:t>
      </w:r>
    </w:p>
    <w:p w14:paraId="5AB30EE1" w14:textId="33B4D865" w:rsidR="007074EB" w:rsidRDefault="00310335" w:rsidP="00310335">
      <w:pPr>
        <w:pStyle w:val="Listaszerbekezds"/>
        <w:numPr>
          <w:ilvl w:val="2"/>
          <w:numId w:val="1"/>
        </w:numPr>
        <w:spacing w:after="120"/>
        <w:contextualSpacing w:val="0"/>
        <w:jc w:val="both"/>
        <w:rPr>
          <w:bCs/>
        </w:rPr>
      </w:pPr>
      <w:r>
        <w:rPr>
          <w:lang w:val="en-GB"/>
        </w:rPr>
        <w:lastRenderedPageBreak/>
        <w:t xml:space="preserve"> </w:t>
      </w:r>
      <w:r w:rsidR="00B461D4" w:rsidRPr="007074EB">
        <w:rPr>
          <w:lang w:val="en-GB"/>
        </w:rPr>
        <w:t>Besides the above described complia</w:t>
      </w:r>
      <w:r w:rsidR="00B461D4" w:rsidRPr="00C04BF8">
        <w:rPr>
          <w:bCs/>
        </w:rPr>
        <w:t xml:space="preserve">nce matrixes the accompanying documents </w:t>
      </w:r>
      <w:r w:rsidR="00B461D4" w:rsidRPr="007074EB">
        <w:rPr>
          <w:b/>
          <w:bCs/>
        </w:rPr>
        <w:t>shall</w:t>
      </w:r>
      <w:r w:rsidR="00B461D4" w:rsidRPr="00C04BF8">
        <w:rPr>
          <w:bCs/>
        </w:rPr>
        <w:t xml:space="preserve"> include a document (e.g. implementation conformance statement (ICS)) describing the characteristics of the implementation with respect to reference specifications, as well as instructions, performance specifications, manuals for installation, configuration, operation and maintenance, synthesis of inspection and test reports, Examination Certificate (if Notified Body has been involved in the conformity assessment tasks).</w:t>
      </w:r>
    </w:p>
    <w:p w14:paraId="5AB30EE2" w14:textId="52FA7836" w:rsidR="007074EB" w:rsidRDefault="00B461D4" w:rsidP="00465F17">
      <w:pPr>
        <w:pStyle w:val="Listaszerbekezds"/>
        <w:numPr>
          <w:ilvl w:val="2"/>
          <w:numId w:val="1"/>
        </w:numPr>
        <w:spacing w:after="120"/>
        <w:contextualSpacing w:val="0"/>
        <w:jc w:val="both"/>
        <w:rPr>
          <w:bCs/>
        </w:rPr>
      </w:pPr>
      <w:r w:rsidRPr="00C04BF8">
        <w:rPr>
          <w:lang w:val="en-GB"/>
        </w:rPr>
        <w:t>Tenderer</w:t>
      </w:r>
      <w:r w:rsidRPr="00C04BF8">
        <w:rPr>
          <w:bCs/>
        </w:rPr>
        <w:t>/</w:t>
      </w:r>
      <w:r>
        <w:rPr>
          <w:bCs/>
        </w:rPr>
        <w:t>Supplier</w:t>
      </w:r>
      <w:r w:rsidRPr="00C04BF8">
        <w:rPr>
          <w:bCs/>
        </w:rPr>
        <w:t xml:space="preserve"> </w:t>
      </w:r>
      <w:r w:rsidRPr="007074EB">
        <w:rPr>
          <w:b/>
          <w:bCs/>
        </w:rPr>
        <w:t>shall</w:t>
      </w:r>
      <w:r w:rsidRPr="00C04BF8">
        <w:rPr>
          <w:bCs/>
        </w:rPr>
        <w:t xml:space="preserve"> deliver to the Customer a preliminary version of Declaration of Conformity (DoC) or Declaration of Suitability for Use (DSU) together with his tender documentation and the final version of Declaration of Conformity (DoC) or Declaration of Suitability for Use (DSU) with the proper accompanying documents latest together with Factory Acceptance Test (FAT) Protocol of the EATMN constituents to be delivered.</w:t>
      </w:r>
    </w:p>
    <w:p w14:paraId="5AB30EE3" w14:textId="2DCE2043" w:rsidR="007074EB" w:rsidRPr="005F7E01" w:rsidRDefault="008122C3" w:rsidP="00101475">
      <w:pPr>
        <w:pStyle w:val="Listaszerbekezds"/>
        <w:numPr>
          <w:ilvl w:val="1"/>
          <w:numId w:val="1"/>
        </w:numPr>
        <w:spacing w:after="120"/>
        <w:ind w:left="1134" w:hanging="414"/>
        <w:contextualSpacing w:val="0"/>
        <w:jc w:val="both"/>
        <w:rPr>
          <w:bCs/>
          <w:i/>
        </w:rPr>
      </w:pPr>
      <w:r w:rsidRPr="005F7E01">
        <w:rPr>
          <w:bCs/>
          <w:i/>
        </w:rPr>
        <w:t xml:space="preserve">VII - </w:t>
      </w:r>
      <w:r w:rsidR="00B461D4" w:rsidRPr="005F7E01">
        <w:rPr>
          <w:bCs/>
          <w:i/>
        </w:rPr>
        <w:t>Description of the procedure</w:t>
      </w:r>
    </w:p>
    <w:p w14:paraId="5AB30EE4" w14:textId="628303A2" w:rsidR="000D359B" w:rsidRDefault="00B461D4" w:rsidP="001D1D60">
      <w:pPr>
        <w:pStyle w:val="Listaszerbekezds"/>
        <w:spacing w:after="120"/>
        <w:ind w:left="1134"/>
        <w:contextualSpacing w:val="0"/>
        <w:jc w:val="both"/>
        <w:rPr>
          <w:bCs/>
        </w:rPr>
      </w:pPr>
      <w:r w:rsidRPr="00C04BF8">
        <w:rPr>
          <w:bCs/>
        </w:rPr>
        <w:t>This section</w:t>
      </w:r>
      <w:r w:rsidR="000D359B">
        <w:rPr>
          <w:bCs/>
        </w:rPr>
        <w:t xml:space="preserve"> of the </w:t>
      </w:r>
      <w:r w:rsidR="000D359B" w:rsidRPr="001D1D60">
        <w:rPr>
          <w:bCs/>
        </w:rPr>
        <w:t>Declaration of Conformity (DoC)</w:t>
      </w:r>
      <w:r w:rsidR="000D359B" w:rsidRPr="0015704F">
        <w:rPr>
          <w:bCs/>
        </w:rPr>
        <w:t xml:space="preserve"> or </w:t>
      </w:r>
      <w:r w:rsidR="000D359B" w:rsidRPr="001D1D60">
        <w:rPr>
          <w:bCs/>
        </w:rPr>
        <w:t>Declaration of Suitability for Use (DSU)</w:t>
      </w:r>
      <w:r w:rsidRPr="00C04BF8">
        <w:rPr>
          <w:bCs/>
        </w:rPr>
        <w:t xml:space="preserve"> </w:t>
      </w:r>
      <w:r w:rsidRPr="001D1D60">
        <w:rPr>
          <w:b/>
          <w:bCs/>
        </w:rPr>
        <w:t>shall</w:t>
      </w:r>
      <w:r w:rsidRPr="00C04BF8">
        <w:rPr>
          <w:bCs/>
        </w:rPr>
        <w:t xml:space="preserve"> contain relevant information with the necessary details concerning the procedure followed in order to declare conformity or suitability for use of the constituent</w:t>
      </w:r>
      <w:r w:rsidR="000D359B">
        <w:rPr>
          <w:bCs/>
        </w:rPr>
        <w:t xml:space="preserve">. This section </w:t>
      </w:r>
      <w:r w:rsidR="009263B3" w:rsidRPr="001D1D60">
        <w:rPr>
          <w:b/>
          <w:bCs/>
        </w:rPr>
        <w:t>shall</w:t>
      </w:r>
      <w:r w:rsidR="009263B3" w:rsidRPr="002C070E">
        <w:rPr>
          <w:bCs/>
        </w:rPr>
        <w:t xml:space="preserve"> contain at least the following information</w:t>
      </w:r>
      <w:r w:rsidR="000D359B">
        <w:rPr>
          <w:bCs/>
        </w:rPr>
        <w:t>:</w:t>
      </w:r>
    </w:p>
    <w:p w14:paraId="5AB30EE5" w14:textId="77777777" w:rsidR="000D359B" w:rsidRPr="000D359B" w:rsidRDefault="00B461D4" w:rsidP="000D359B">
      <w:pPr>
        <w:pStyle w:val="Listaszerbekezds"/>
        <w:numPr>
          <w:ilvl w:val="0"/>
          <w:numId w:val="9"/>
        </w:numPr>
        <w:spacing w:after="120"/>
        <w:contextualSpacing w:val="0"/>
        <w:jc w:val="both"/>
        <w:rPr>
          <w:lang w:val="en-GB"/>
        </w:rPr>
      </w:pPr>
      <w:r w:rsidRPr="00C04BF8">
        <w:rPr>
          <w:bCs/>
        </w:rPr>
        <w:t>the role of the manufactur</w:t>
      </w:r>
      <w:r w:rsidRPr="000D359B">
        <w:rPr>
          <w:lang w:val="en-GB"/>
        </w:rPr>
        <w:t>er (Tenderer/Supplier) in the procedure</w:t>
      </w:r>
      <w:r w:rsidR="000D359B" w:rsidRPr="000D359B">
        <w:rPr>
          <w:lang w:val="en-GB"/>
        </w:rPr>
        <w:t>,</w:t>
      </w:r>
    </w:p>
    <w:p w14:paraId="5AB30EE6" w14:textId="77777777" w:rsidR="000D359B" w:rsidRPr="000D359B" w:rsidRDefault="00B461D4" w:rsidP="000D359B">
      <w:pPr>
        <w:pStyle w:val="Listaszerbekezds"/>
        <w:numPr>
          <w:ilvl w:val="0"/>
          <w:numId w:val="9"/>
        </w:numPr>
        <w:spacing w:after="120"/>
        <w:contextualSpacing w:val="0"/>
        <w:jc w:val="both"/>
        <w:rPr>
          <w:lang w:val="en-GB"/>
        </w:rPr>
      </w:pPr>
      <w:r w:rsidRPr="000D359B">
        <w:rPr>
          <w:lang w:val="en-GB"/>
        </w:rPr>
        <w:t>the indication of the module of Decision No 768/2008/EC that were applied during the procedure (and the results of the assessment)</w:t>
      </w:r>
    </w:p>
    <w:p w14:paraId="5AB30EE7" w14:textId="6274D187" w:rsidR="000D359B" w:rsidRPr="000D359B" w:rsidRDefault="00B461D4" w:rsidP="000D359B">
      <w:pPr>
        <w:pStyle w:val="Listaszerbekezds"/>
        <w:numPr>
          <w:ilvl w:val="0"/>
          <w:numId w:val="9"/>
        </w:numPr>
        <w:spacing w:after="120"/>
        <w:contextualSpacing w:val="0"/>
        <w:jc w:val="both"/>
        <w:rPr>
          <w:lang w:val="en-GB"/>
        </w:rPr>
      </w:pPr>
      <w:r w:rsidRPr="000D359B">
        <w:rPr>
          <w:lang w:val="en-GB"/>
        </w:rPr>
        <w:t>if a special conformity assessment procedure stipulated by a relevant, applicable Implementing Rule has been used, the reference to the given regulation,</w:t>
      </w:r>
    </w:p>
    <w:p w14:paraId="5AB30EE8" w14:textId="2ED55DA8" w:rsidR="00B461D4" w:rsidRDefault="00782957" w:rsidP="000D359B">
      <w:pPr>
        <w:pStyle w:val="Listaszerbekezds"/>
        <w:numPr>
          <w:ilvl w:val="0"/>
          <w:numId w:val="9"/>
        </w:numPr>
        <w:spacing w:after="120"/>
        <w:contextualSpacing w:val="0"/>
        <w:jc w:val="both"/>
        <w:rPr>
          <w:bCs/>
        </w:rPr>
      </w:pPr>
      <w:r w:rsidRPr="000D359B">
        <w:rPr>
          <w:lang w:val="en-GB"/>
        </w:rPr>
        <w:t>if applicable (e.g. in case when stipulated by a relevant, applicable Implementing Rule)</w:t>
      </w:r>
      <w:r w:rsidR="00B70CE4">
        <w:rPr>
          <w:lang w:val="en-GB"/>
        </w:rPr>
        <w:t xml:space="preserve"> </w:t>
      </w:r>
      <w:r w:rsidR="00B461D4" w:rsidRPr="000D359B">
        <w:rPr>
          <w:lang w:val="en-GB"/>
        </w:rPr>
        <w:t>the role and required identifica</w:t>
      </w:r>
      <w:r w:rsidR="00B461D4" w:rsidRPr="00C04BF8">
        <w:rPr>
          <w:bCs/>
        </w:rPr>
        <w:t>tion data of the Notified Body used in the procedure as well as the necessary details of Examination Certificate of the Notified Body.</w:t>
      </w:r>
    </w:p>
    <w:p w14:paraId="5AB30EE9" w14:textId="77777777" w:rsidR="00B461D4" w:rsidRDefault="00B461D4" w:rsidP="000D359B">
      <w:pPr>
        <w:pStyle w:val="Listaszerbekezds"/>
        <w:numPr>
          <w:ilvl w:val="0"/>
          <w:numId w:val="1"/>
        </w:numPr>
        <w:spacing w:after="120"/>
        <w:ind w:left="426" w:hanging="426"/>
        <w:contextualSpacing w:val="0"/>
        <w:jc w:val="both"/>
      </w:pPr>
      <w:r w:rsidRPr="00C04BF8">
        <w:rPr>
          <w:bCs/>
        </w:rPr>
        <w:t>The Tenderer/</w:t>
      </w:r>
      <w:r>
        <w:rPr>
          <w:lang w:val="en-GB"/>
        </w:rPr>
        <w:t>Supplier</w:t>
      </w:r>
      <w:r w:rsidRPr="00C04BF8">
        <w:rPr>
          <w:lang w:val="en-GB"/>
        </w:rPr>
        <w:t xml:space="preserve"> </w:t>
      </w:r>
      <w:r w:rsidRPr="000D359B">
        <w:rPr>
          <w:b/>
          <w:lang w:val="en-GB"/>
        </w:rPr>
        <w:t>shall</w:t>
      </w:r>
      <w:r w:rsidRPr="00C04BF8">
        <w:rPr>
          <w:lang w:val="en-GB"/>
        </w:rPr>
        <w:t xml:space="preserve"> </w:t>
      </w:r>
      <w:r w:rsidRPr="000D359B">
        <w:rPr>
          <w:bCs/>
        </w:rPr>
        <w:t>maintain</w:t>
      </w:r>
      <w:r w:rsidRPr="00C04BF8">
        <w:rPr>
          <w:lang w:val="en-GB"/>
        </w:rPr>
        <w:t xml:space="preserve"> the EC declaration of conformity or suitability for use and ensure that their content reflects all the changes in </w:t>
      </w:r>
      <w:r w:rsidRPr="00C04BF8">
        <w:t>the baseline for conformity assessment applicable to the constituent as well as the changes in the constituent and its conditions of use valid at the time of delivery of the constituent and its EC declaration to the Customer.</w:t>
      </w:r>
    </w:p>
    <w:p w14:paraId="5AB30EEA" w14:textId="1BA84FDD" w:rsidR="00B461D4" w:rsidRDefault="00B461D4" w:rsidP="000D359B">
      <w:pPr>
        <w:pStyle w:val="Listaszerbekezds"/>
        <w:numPr>
          <w:ilvl w:val="0"/>
          <w:numId w:val="1"/>
        </w:numPr>
        <w:spacing w:after="120"/>
        <w:ind w:left="426" w:hanging="426"/>
        <w:contextualSpacing w:val="0"/>
        <w:jc w:val="both"/>
        <w:rPr>
          <w:lang w:val="en-GB"/>
        </w:rPr>
      </w:pPr>
      <w:r w:rsidRPr="00C04BF8">
        <w:rPr>
          <w:lang w:val="en-GB"/>
        </w:rPr>
        <w:t xml:space="preserve">The </w:t>
      </w:r>
      <w:r w:rsidRPr="00C04BF8">
        <w:rPr>
          <w:bCs/>
        </w:rPr>
        <w:t>Tenderer/</w:t>
      </w:r>
      <w:r>
        <w:rPr>
          <w:lang w:val="en-GB"/>
        </w:rPr>
        <w:t>Supplier</w:t>
      </w:r>
      <w:r w:rsidRPr="00C04BF8">
        <w:rPr>
          <w:lang w:val="en-GB"/>
        </w:rPr>
        <w:t xml:space="preserve"> </w:t>
      </w:r>
      <w:r w:rsidRPr="000D359B">
        <w:rPr>
          <w:b/>
          <w:bCs/>
        </w:rPr>
        <w:t>shall</w:t>
      </w:r>
      <w:r w:rsidRPr="00C04BF8">
        <w:rPr>
          <w:lang w:val="en-GB"/>
        </w:rPr>
        <w:t xml:space="preserve"> deliver to the Customer all the documents required for the Technical File of the Declaration of Verification (DoV) according to </w:t>
      </w:r>
      <w:r w:rsidR="000D359B">
        <w:rPr>
          <w:bCs/>
        </w:rPr>
        <w:t>the I</w:t>
      </w:r>
      <w:r w:rsidRPr="00C04BF8">
        <w:rPr>
          <w:bCs/>
        </w:rPr>
        <w:t>nteroperability Regulation</w:t>
      </w:r>
      <w:r w:rsidRPr="00C04BF8">
        <w:rPr>
          <w:lang w:val="en-GB"/>
        </w:rPr>
        <w:t xml:space="preserve"> and to </w:t>
      </w:r>
      <w:hyperlink r:id="rId19" w:history="1">
        <w:r w:rsidR="001403E1" w:rsidRPr="001403E1">
          <w:rPr>
            <w:rStyle w:val="Hiperhivatkozs"/>
            <w:bCs/>
          </w:rPr>
          <w:t>EUROCO</w:t>
        </w:r>
        <w:r w:rsidR="001403E1" w:rsidRPr="001403E1">
          <w:rPr>
            <w:rStyle w:val="Hiperhivatkozs"/>
            <w:bCs/>
          </w:rPr>
          <w:t>N</w:t>
        </w:r>
        <w:r w:rsidR="001403E1" w:rsidRPr="001403E1">
          <w:rPr>
            <w:rStyle w:val="Hiperhivatkozs"/>
            <w:bCs/>
          </w:rPr>
          <w:t>TROL Gu</w:t>
        </w:r>
        <w:bookmarkStart w:id="0" w:name="_GoBack"/>
        <w:bookmarkEnd w:id="0"/>
        <w:r w:rsidR="001403E1" w:rsidRPr="001403E1">
          <w:rPr>
            <w:rStyle w:val="Hiperhivatkozs"/>
            <w:bCs/>
          </w:rPr>
          <w:t>i</w:t>
        </w:r>
        <w:r w:rsidR="001403E1" w:rsidRPr="001403E1">
          <w:rPr>
            <w:rStyle w:val="Hiperhivatkozs"/>
            <w:bCs/>
          </w:rPr>
          <w:t>delines</w:t>
        </w:r>
      </w:hyperlink>
      <w:r w:rsidRPr="00C04BF8">
        <w:rPr>
          <w:lang w:val="en-GB"/>
        </w:rPr>
        <w:t>.</w:t>
      </w:r>
    </w:p>
    <w:p w14:paraId="5AB30EEB" w14:textId="77777777" w:rsidR="00B461D4" w:rsidRDefault="00B461D4" w:rsidP="000D359B">
      <w:pPr>
        <w:pStyle w:val="Listaszerbekezds"/>
        <w:numPr>
          <w:ilvl w:val="0"/>
          <w:numId w:val="1"/>
        </w:numPr>
        <w:spacing w:after="120"/>
        <w:ind w:left="426" w:hanging="426"/>
        <w:contextualSpacing w:val="0"/>
        <w:jc w:val="both"/>
        <w:rPr>
          <w:lang w:val="en-GB"/>
        </w:rPr>
      </w:pPr>
      <w:r w:rsidRPr="00C04BF8">
        <w:rPr>
          <w:lang w:val="en-GB"/>
        </w:rPr>
        <w:t>Tenderer/</w:t>
      </w:r>
      <w:r>
        <w:rPr>
          <w:lang w:val="en-GB"/>
        </w:rPr>
        <w:t>Supplier</w:t>
      </w:r>
      <w:r w:rsidRPr="00C04BF8">
        <w:rPr>
          <w:lang w:val="en-GB"/>
        </w:rPr>
        <w:t xml:space="preserve"> </w:t>
      </w:r>
      <w:r w:rsidRPr="000D359B">
        <w:rPr>
          <w:b/>
          <w:lang w:val="en-GB"/>
        </w:rPr>
        <w:t>shall</w:t>
      </w:r>
      <w:r w:rsidRPr="00C04BF8">
        <w:rPr>
          <w:lang w:val="en-GB"/>
        </w:rPr>
        <w:t xml:space="preserve"> deliver to the </w:t>
      </w:r>
      <w:r w:rsidRPr="000D359B">
        <w:rPr>
          <w:bCs/>
        </w:rPr>
        <w:t>Customer</w:t>
      </w:r>
      <w:r w:rsidRPr="00C04BF8">
        <w:rPr>
          <w:lang w:val="en-GB"/>
        </w:rPr>
        <w:t xml:space="preserve"> all the required above described EC declarations and accompanying documents (compliance matrixes, implementation conformance statements, instructions, performance specifications, manuals, synthesis of inspection and test reports, Examination Certificate, etc.) in Hungarian and/or English in an electronically readable format (e.g. doc, docx, pdf, xls, xlsx, etc.)</w:t>
      </w:r>
    </w:p>
    <w:p w14:paraId="5AB30EED" w14:textId="22CC8137" w:rsidR="00B461D4" w:rsidRPr="00064DD7" w:rsidRDefault="00B461D4" w:rsidP="000D359B">
      <w:pPr>
        <w:pStyle w:val="Listaszerbekezds"/>
        <w:numPr>
          <w:ilvl w:val="0"/>
          <w:numId w:val="1"/>
        </w:numPr>
        <w:spacing w:after="120"/>
        <w:ind w:left="426" w:hanging="426"/>
        <w:contextualSpacing w:val="0"/>
        <w:jc w:val="both"/>
        <w:rPr>
          <w:bCs/>
        </w:rPr>
      </w:pPr>
      <w:r w:rsidRPr="000D359B">
        <w:rPr>
          <w:lang w:val="en-GB"/>
        </w:rPr>
        <w:lastRenderedPageBreak/>
        <w:t xml:space="preserve">Customer </w:t>
      </w:r>
      <w:r w:rsidRPr="000D359B">
        <w:rPr>
          <w:b/>
          <w:lang w:val="en-GB"/>
        </w:rPr>
        <w:t>shall</w:t>
      </w:r>
      <w:r w:rsidRPr="000D359B">
        <w:rPr>
          <w:lang w:val="en-GB"/>
        </w:rPr>
        <w:t xml:space="preserve"> examine the documents delivered by the Tenderer/Supplier and</w:t>
      </w:r>
      <w:r w:rsidR="000D359B">
        <w:rPr>
          <w:lang w:val="en-GB"/>
        </w:rPr>
        <w:t xml:space="preserve"> either</w:t>
      </w:r>
      <w:r w:rsidRPr="000D359B">
        <w:rPr>
          <w:lang w:val="en-GB"/>
        </w:rPr>
        <w:t xml:space="preserve"> approve these in writing within two weeks reckoned from receipt thereof, or communicate in writing its remarks and opinion about any possible errors or deficiencies of the documents</w:t>
      </w:r>
      <w:r w:rsidR="00501701" w:rsidRPr="00501701">
        <w:rPr>
          <w:lang w:val="en-GB"/>
        </w:rPr>
        <w:t xml:space="preserve">, and </w:t>
      </w:r>
      <w:r w:rsidR="00501701" w:rsidRPr="00523DE0">
        <w:rPr>
          <w:b/>
          <w:lang w:val="en-GB"/>
        </w:rPr>
        <w:t>shall</w:t>
      </w:r>
      <w:r w:rsidR="00501701" w:rsidRPr="00501701">
        <w:rPr>
          <w:lang w:val="en-GB"/>
        </w:rPr>
        <w:t xml:space="preserve"> also set an appropriate time limit (at least one week) for correcting these defects</w:t>
      </w:r>
      <w:r w:rsidRPr="000D359B">
        <w:rPr>
          <w:lang w:val="en-GB"/>
        </w:rPr>
        <w:t xml:space="preserve">. Tenderer/Supplier </w:t>
      </w:r>
      <w:r w:rsidRPr="000D359B">
        <w:rPr>
          <w:b/>
          <w:lang w:val="en-GB"/>
        </w:rPr>
        <w:t>shall</w:t>
      </w:r>
      <w:r w:rsidRPr="000D359B">
        <w:rPr>
          <w:lang w:val="en-GB"/>
        </w:rPr>
        <w:t xml:space="preserve"> submit again </w:t>
      </w:r>
      <w:r w:rsidR="00737ECC">
        <w:rPr>
          <w:lang w:val="en-GB"/>
        </w:rPr>
        <w:t xml:space="preserve">to the Customer </w:t>
      </w:r>
      <w:r w:rsidRPr="000D359B">
        <w:rPr>
          <w:lang w:val="en-GB"/>
        </w:rPr>
        <w:t xml:space="preserve">for approval the documents modified according to the remarks and opinion of the Customer, within </w:t>
      </w:r>
      <w:r w:rsidR="007B1571">
        <w:rPr>
          <w:lang w:val="en-GB"/>
        </w:rPr>
        <w:t>the time limits set by the Customer</w:t>
      </w:r>
      <w:r w:rsidRPr="000D359B">
        <w:rPr>
          <w:lang w:val="en-GB"/>
        </w:rPr>
        <w:t>.</w:t>
      </w:r>
    </w:p>
    <w:p w14:paraId="747D9389" w14:textId="63BB929D" w:rsidR="00064DD7" w:rsidRPr="007B1571" w:rsidRDefault="00064DD7" w:rsidP="007B1571">
      <w:pPr>
        <w:pStyle w:val="Listaszerbekezds"/>
        <w:numPr>
          <w:ilvl w:val="0"/>
          <w:numId w:val="1"/>
        </w:numPr>
        <w:spacing w:after="120"/>
        <w:ind w:left="426" w:hanging="426"/>
        <w:contextualSpacing w:val="0"/>
        <w:jc w:val="both"/>
        <w:rPr>
          <w:bCs/>
        </w:rPr>
      </w:pPr>
      <w:r w:rsidRPr="007B1571">
        <w:rPr>
          <w:bCs/>
        </w:rPr>
        <w:t xml:space="preserve">The content of the </w:t>
      </w:r>
      <w:r w:rsidRPr="007B1571">
        <w:rPr>
          <w:bCs/>
          <w:i/>
        </w:rPr>
        <w:t>Declaration of Conformity (DoC)</w:t>
      </w:r>
      <w:r w:rsidRPr="007B1571">
        <w:rPr>
          <w:bCs/>
        </w:rPr>
        <w:t xml:space="preserve"> or </w:t>
      </w:r>
      <w:r w:rsidRPr="007B1571">
        <w:rPr>
          <w:bCs/>
          <w:i/>
        </w:rPr>
        <w:t>Declaration of Suitability for Use (DSU)</w:t>
      </w:r>
      <w:r w:rsidRPr="007B1571">
        <w:rPr>
          <w:bCs/>
        </w:rPr>
        <w:t xml:space="preserve">, as well as of the above listed accompanying documents </w:t>
      </w:r>
      <w:r w:rsidRPr="007B1571">
        <w:rPr>
          <w:b/>
          <w:bCs/>
        </w:rPr>
        <w:t>shall</w:t>
      </w:r>
      <w:r w:rsidRPr="007B1571">
        <w:rPr>
          <w:bCs/>
        </w:rPr>
        <w:t xml:space="preserve"> be agreed with and is subject to approval by the Customer.</w:t>
      </w:r>
    </w:p>
    <w:sectPr w:rsidR="00064DD7" w:rsidRPr="007B157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C5ADE"/>
    <w:multiLevelType w:val="hybridMultilevel"/>
    <w:tmpl w:val="666CB0D6"/>
    <w:lvl w:ilvl="0" w:tplc="040E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595FEB"/>
    <w:multiLevelType w:val="hybridMultilevel"/>
    <w:tmpl w:val="666CB0D6"/>
    <w:lvl w:ilvl="0" w:tplc="040E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80E32E4"/>
    <w:multiLevelType w:val="hybridMultilevel"/>
    <w:tmpl w:val="666CB0D6"/>
    <w:lvl w:ilvl="0" w:tplc="040E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EF255AC"/>
    <w:multiLevelType w:val="multilevel"/>
    <w:tmpl w:val="040E001F"/>
    <w:lvl w:ilvl="0">
      <w:start w:val="1"/>
      <w:numFmt w:val="decimal"/>
      <w:lvlText w:val="%1."/>
      <w:lvlJc w:val="left"/>
      <w:pPr>
        <w:ind w:left="645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87E11E5"/>
    <w:multiLevelType w:val="hybridMultilevel"/>
    <w:tmpl w:val="7212A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B253A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D4A59DC"/>
    <w:multiLevelType w:val="hybridMultilevel"/>
    <w:tmpl w:val="666CB0D6"/>
    <w:lvl w:ilvl="0" w:tplc="040E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F2E494C"/>
    <w:multiLevelType w:val="hybridMultilevel"/>
    <w:tmpl w:val="666CB0D6"/>
    <w:lvl w:ilvl="0" w:tplc="040E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F4A030A"/>
    <w:multiLevelType w:val="hybridMultilevel"/>
    <w:tmpl w:val="666CB0D6"/>
    <w:lvl w:ilvl="0" w:tplc="040E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4"/>
  </w:num>
  <w:num w:numId="3">
    <w:abstractNumId w:val="7"/>
  </w:num>
  <w:num w:numId="4">
    <w:abstractNumId w:val="1"/>
  </w:num>
  <w:num w:numId="5">
    <w:abstractNumId w:val="0"/>
  </w:num>
  <w:num w:numId="6">
    <w:abstractNumId w:val="5"/>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1D4"/>
    <w:rsid w:val="0001048C"/>
    <w:rsid w:val="00057D84"/>
    <w:rsid w:val="00064DD7"/>
    <w:rsid w:val="00070013"/>
    <w:rsid w:val="000A1B93"/>
    <w:rsid w:val="000C43EE"/>
    <w:rsid w:val="000D359B"/>
    <w:rsid w:val="000E4D70"/>
    <w:rsid w:val="000F27C3"/>
    <w:rsid w:val="00101475"/>
    <w:rsid w:val="001403E1"/>
    <w:rsid w:val="001D1D60"/>
    <w:rsid w:val="001D7A79"/>
    <w:rsid w:val="001E46D8"/>
    <w:rsid w:val="00282126"/>
    <w:rsid w:val="00292B1A"/>
    <w:rsid w:val="002C588D"/>
    <w:rsid w:val="00310335"/>
    <w:rsid w:val="00323B72"/>
    <w:rsid w:val="00345850"/>
    <w:rsid w:val="003466F2"/>
    <w:rsid w:val="00375F35"/>
    <w:rsid w:val="003A4DC8"/>
    <w:rsid w:val="003D099E"/>
    <w:rsid w:val="003F0C89"/>
    <w:rsid w:val="0046487F"/>
    <w:rsid w:val="00465A11"/>
    <w:rsid w:val="00465F17"/>
    <w:rsid w:val="00480F97"/>
    <w:rsid w:val="00484FDC"/>
    <w:rsid w:val="004951E8"/>
    <w:rsid w:val="00497CEA"/>
    <w:rsid w:val="004C5BBE"/>
    <w:rsid w:val="00501701"/>
    <w:rsid w:val="005206BF"/>
    <w:rsid w:val="00523DE0"/>
    <w:rsid w:val="00542E56"/>
    <w:rsid w:val="00554AA8"/>
    <w:rsid w:val="00562C67"/>
    <w:rsid w:val="0056781B"/>
    <w:rsid w:val="00573873"/>
    <w:rsid w:val="005B463B"/>
    <w:rsid w:val="005F7E01"/>
    <w:rsid w:val="00621DED"/>
    <w:rsid w:val="006374EA"/>
    <w:rsid w:val="00651DD8"/>
    <w:rsid w:val="0065422D"/>
    <w:rsid w:val="006E641E"/>
    <w:rsid w:val="006F53E3"/>
    <w:rsid w:val="007074EB"/>
    <w:rsid w:val="007316DC"/>
    <w:rsid w:val="00737ECC"/>
    <w:rsid w:val="00752A4A"/>
    <w:rsid w:val="00782957"/>
    <w:rsid w:val="007A68D3"/>
    <w:rsid w:val="007B1571"/>
    <w:rsid w:val="007D33CC"/>
    <w:rsid w:val="008122C3"/>
    <w:rsid w:val="008316C0"/>
    <w:rsid w:val="008422FA"/>
    <w:rsid w:val="00894CA2"/>
    <w:rsid w:val="009263B3"/>
    <w:rsid w:val="009477CC"/>
    <w:rsid w:val="00963C32"/>
    <w:rsid w:val="00967E00"/>
    <w:rsid w:val="009A1AD0"/>
    <w:rsid w:val="009E36D0"/>
    <w:rsid w:val="009F59D5"/>
    <w:rsid w:val="00A14F77"/>
    <w:rsid w:val="00A22095"/>
    <w:rsid w:val="00A53694"/>
    <w:rsid w:val="00A85936"/>
    <w:rsid w:val="00B01678"/>
    <w:rsid w:val="00B1517F"/>
    <w:rsid w:val="00B40B11"/>
    <w:rsid w:val="00B461D4"/>
    <w:rsid w:val="00B468DB"/>
    <w:rsid w:val="00B70CE4"/>
    <w:rsid w:val="00B751AB"/>
    <w:rsid w:val="00B816CA"/>
    <w:rsid w:val="00B83805"/>
    <w:rsid w:val="00BB114C"/>
    <w:rsid w:val="00BB288B"/>
    <w:rsid w:val="00BF24A2"/>
    <w:rsid w:val="00BF60C7"/>
    <w:rsid w:val="00C61676"/>
    <w:rsid w:val="00CE683E"/>
    <w:rsid w:val="00D07D84"/>
    <w:rsid w:val="00D63C12"/>
    <w:rsid w:val="00D64D3B"/>
    <w:rsid w:val="00D74B37"/>
    <w:rsid w:val="00D90F9A"/>
    <w:rsid w:val="00DB18B7"/>
    <w:rsid w:val="00E444DD"/>
    <w:rsid w:val="00E70634"/>
    <w:rsid w:val="00E754F4"/>
    <w:rsid w:val="00E83D4D"/>
    <w:rsid w:val="00EC62B5"/>
    <w:rsid w:val="00F06023"/>
    <w:rsid w:val="00F13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30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B461D4"/>
    <w:rPr>
      <w:color w:val="0000FF" w:themeColor="hyperlink"/>
      <w:u w:val="single"/>
    </w:rPr>
  </w:style>
  <w:style w:type="character" w:styleId="Jegyzethivatkozs">
    <w:name w:val="annotation reference"/>
    <w:uiPriority w:val="99"/>
    <w:semiHidden/>
    <w:unhideWhenUsed/>
    <w:rsid w:val="00B461D4"/>
    <w:rPr>
      <w:sz w:val="16"/>
      <w:szCs w:val="16"/>
    </w:rPr>
  </w:style>
  <w:style w:type="paragraph" w:styleId="Jegyzetszveg">
    <w:name w:val="annotation text"/>
    <w:basedOn w:val="Norml"/>
    <w:link w:val="JegyzetszvegChar"/>
    <w:uiPriority w:val="99"/>
    <w:semiHidden/>
    <w:unhideWhenUsed/>
    <w:rsid w:val="00B461D4"/>
    <w:pPr>
      <w:spacing w:before="40" w:after="40" w:line="240" w:lineRule="auto"/>
    </w:pPr>
    <w:rPr>
      <w:rFonts w:ascii="Arial" w:eastAsia="Times New Roman" w:hAnsi="Arial" w:cs="Times New Roman"/>
      <w:sz w:val="20"/>
      <w:szCs w:val="20"/>
      <w:lang w:val="de-DE"/>
    </w:rPr>
  </w:style>
  <w:style w:type="character" w:customStyle="1" w:styleId="JegyzetszvegChar">
    <w:name w:val="Jegyzetszöveg Char"/>
    <w:basedOn w:val="Bekezdsalapbettpusa"/>
    <w:link w:val="Jegyzetszveg"/>
    <w:uiPriority w:val="99"/>
    <w:semiHidden/>
    <w:rsid w:val="00B461D4"/>
    <w:rPr>
      <w:rFonts w:ascii="Arial" w:eastAsia="Times New Roman" w:hAnsi="Arial" w:cs="Times New Roman"/>
      <w:sz w:val="20"/>
      <w:szCs w:val="20"/>
      <w:lang w:val="de-DE"/>
    </w:rPr>
  </w:style>
  <w:style w:type="paragraph" w:styleId="Buborkszveg">
    <w:name w:val="Balloon Text"/>
    <w:basedOn w:val="Norml"/>
    <w:link w:val="BuborkszvegChar"/>
    <w:uiPriority w:val="99"/>
    <w:semiHidden/>
    <w:unhideWhenUsed/>
    <w:rsid w:val="00B461D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461D4"/>
    <w:rPr>
      <w:rFonts w:ascii="Tahoma" w:hAnsi="Tahoma" w:cs="Tahoma"/>
      <w:sz w:val="16"/>
      <w:szCs w:val="16"/>
    </w:rPr>
  </w:style>
  <w:style w:type="paragraph" w:styleId="Listaszerbekezds">
    <w:name w:val="List Paragraph"/>
    <w:basedOn w:val="Norml"/>
    <w:uiPriority w:val="34"/>
    <w:qFormat/>
    <w:rsid w:val="00B461D4"/>
    <w:pPr>
      <w:ind w:left="720"/>
      <w:contextualSpacing/>
    </w:pPr>
  </w:style>
  <w:style w:type="paragraph" w:styleId="Megjegyzstrgya">
    <w:name w:val="annotation subject"/>
    <w:basedOn w:val="Jegyzetszveg"/>
    <w:next w:val="Jegyzetszveg"/>
    <w:link w:val="MegjegyzstrgyaChar"/>
    <w:uiPriority w:val="99"/>
    <w:semiHidden/>
    <w:unhideWhenUsed/>
    <w:rsid w:val="00B83805"/>
    <w:pPr>
      <w:spacing w:before="0" w:after="200"/>
    </w:pPr>
    <w:rPr>
      <w:rFonts w:asciiTheme="minorHAnsi" w:eastAsiaTheme="minorHAnsi" w:hAnsiTheme="minorHAnsi" w:cstheme="minorBidi"/>
      <w:b/>
      <w:bCs/>
      <w:lang w:val="en-US"/>
    </w:rPr>
  </w:style>
  <w:style w:type="character" w:customStyle="1" w:styleId="MegjegyzstrgyaChar">
    <w:name w:val="Megjegyzés tárgya Char"/>
    <w:basedOn w:val="JegyzetszvegChar"/>
    <w:link w:val="Megjegyzstrgya"/>
    <w:uiPriority w:val="99"/>
    <w:semiHidden/>
    <w:rsid w:val="00B83805"/>
    <w:rPr>
      <w:rFonts w:ascii="Arial" w:eastAsia="Times New Roman" w:hAnsi="Arial" w:cs="Times New Roman"/>
      <w:b/>
      <w:bCs/>
      <w:sz w:val="20"/>
      <w:szCs w:val="20"/>
      <w:lang w:val="de-DE"/>
    </w:rPr>
  </w:style>
  <w:style w:type="character" w:styleId="Mrltotthiperhivatkozs">
    <w:name w:val="FollowedHyperlink"/>
    <w:basedOn w:val="Bekezdsalapbettpusa"/>
    <w:uiPriority w:val="99"/>
    <w:semiHidden/>
    <w:unhideWhenUsed/>
    <w:rsid w:val="001403E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B461D4"/>
    <w:rPr>
      <w:color w:val="0000FF" w:themeColor="hyperlink"/>
      <w:u w:val="single"/>
    </w:rPr>
  </w:style>
  <w:style w:type="character" w:styleId="Jegyzethivatkozs">
    <w:name w:val="annotation reference"/>
    <w:uiPriority w:val="99"/>
    <w:semiHidden/>
    <w:unhideWhenUsed/>
    <w:rsid w:val="00B461D4"/>
    <w:rPr>
      <w:sz w:val="16"/>
      <w:szCs w:val="16"/>
    </w:rPr>
  </w:style>
  <w:style w:type="paragraph" w:styleId="Jegyzetszveg">
    <w:name w:val="annotation text"/>
    <w:basedOn w:val="Norml"/>
    <w:link w:val="JegyzetszvegChar"/>
    <w:uiPriority w:val="99"/>
    <w:semiHidden/>
    <w:unhideWhenUsed/>
    <w:rsid w:val="00B461D4"/>
    <w:pPr>
      <w:spacing w:before="40" w:after="40" w:line="240" w:lineRule="auto"/>
    </w:pPr>
    <w:rPr>
      <w:rFonts w:ascii="Arial" w:eastAsia="Times New Roman" w:hAnsi="Arial" w:cs="Times New Roman"/>
      <w:sz w:val="20"/>
      <w:szCs w:val="20"/>
      <w:lang w:val="de-DE"/>
    </w:rPr>
  </w:style>
  <w:style w:type="character" w:customStyle="1" w:styleId="JegyzetszvegChar">
    <w:name w:val="Jegyzetszöveg Char"/>
    <w:basedOn w:val="Bekezdsalapbettpusa"/>
    <w:link w:val="Jegyzetszveg"/>
    <w:uiPriority w:val="99"/>
    <w:semiHidden/>
    <w:rsid w:val="00B461D4"/>
    <w:rPr>
      <w:rFonts w:ascii="Arial" w:eastAsia="Times New Roman" w:hAnsi="Arial" w:cs="Times New Roman"/>
      <w:sz w:val="20"/>
      <w:szCs w:val="20"/>
      <w:lang w:val="de-DE"/>
    </w:rPr>
  </w:style>
  <w:style w:type="paragraph" w:styleId="Buborkszveg">
    <w:name w:val="Balloon Text"/>
    <w:basedOn w:val="Norml"/>
    <w:link w:val="BuborkszvegChar"/>
    <w:uiPriority w:val="99"/>
    <w:semiHidden/>
    <w:unhideWhenUsed/>
    <w:rsid w:val="00B461D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461D4"/>
    <w:rPr>
      <w:rFonts w:ascii="Tahoma" w:hAnsi="Tahoma" w:cs="Tahoma"/>
      <w:sz w:val="16"/>
      <w:szCs w:val="16"/>
    </w:rPr>
  </w:style>
  <w:style w:type="paragraph" w:styleId="Listaszerbekezds">
    <w:name w:val="List Paragraph"/>
    <w:basedOn w:val="Norml"/>
    <w:uiPriority w:val="34"/>
    <w:qFormat/>
    <w:rsid w:val="00B461D4"/>
    <w:pPr>
      <w:ind w:left="720"/>
      <w:contextualSpacing/>
    </w:pPr>
  </w:style>
  <w:style w:type="paragraph" w:styleId="Megjegyzstrgya">
    <w:name w:val="annotation subject"/>
    <w:basedOn w:val="Jegyzetszveg"/>
    <w:next w:val="Jegyzetszveg"/>
    <w:link w:val="MegjegyzstrgyaChar"/>
    <w:uiPriority w:val="99"/>
    <w:semiHidden/>
    <w:unhideWhenUsed/>
    <w:rsid w:val="00B83805"/>
    <w:pPr>
      <w:spacing w:before="0" w:after="200"/>
    </w:pPr>
    <w:rPr>
      <w:rFonts w:asciiTheme="minorHAnsi" w:eastAsiaTheme="minorHAnsi" w:hAnsiTheme="minorHAnsi" w:cstheme="minorBidi"/>
      <w:b/>
      <w:bCs/>
      <w:lang w:val="en-US"/>
    </w:rPr>
  </w:style>
  <w:style w:type="character" w:customStyle="1" w:styleId="MegjegyzstrgyaChar">
    <w:name w:val="Megjegyzés tárgya Char"/>
    <w:basedOn w:val="JegyzetszvegChar"/>
    <w:link w:val="Megjegyzstrgya"/>
    <w:uiPriority w:val="99"/>
    <w:semiHidden/>
    <w:rsid w:val="00B83805"/>
    <w:rPr>
      <w:rFonts w:ascii="Arial" w:eastAsia="Times New Roman" w:hAnsi="Arial" w:cs="Times New Roman"/>
      <w:b/>
      <w:bCs/>
      <w:sz w:val="20"/>
      <w:szCs w:val="20"/>
      <w:lang w:val="de-DE"/>
    </w:rPr>
  </w:style>
  <w:style w:type="character" w:styleId="Mrltotthiperhivatkozs">
    <w:name w:val="FollowedHyperlink"/>
    <w:basedOn w:val="Bekezdsalapbettpusa"/>
    <w:uiPriority w:val="99"/>
    <w:semiHidden/>
    <w:unhideWhenUsed/>
    <w:rsid w:val="001403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eurocontrol.int/sites/default/files/publication/files/20120220-ca-guid-v3.0.pdf" TargetMode="External"/><Relationship Id="rId18" Type="http://schemas.openxmlformats.org/officeDocument/2006/relationships/hyperlink" Target="http://www.eurocontrol.int/articles/conformity-assessmen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eurocontrol.int/sites/default/files/publication/files/20120220-ca-guid-v3.0.pdf" TargetMode="External"/><Relationship Id="rId17" Type="http://schemas.openxmlformats.org/officeDocument/2006/relationships/hyperlink" Target="http://www.eurocontrol.int/sites/default/files/publication/files/20120220-ca-guid-v3.0.pdf" TargetMode="External"/><Relationship Id="rId2" Type="http://schemas.openxmlformats.org/officeDocument/2006/relationships/customXml" Target="../customXml/item2.xml"/><Relationship Id="rId16" Type="http://schemas.openxmlformats.org/officeDocument/2006/relationships/hyperlink" Target="http://www.eurocontrol.int/sites/default/files/publication/files/20120220-ca-guid-v3.0.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eurocontrol.int/sites/default/files/publication/files/20120220-ca-guid-v3.0.pdf" TargetMode="External"/><Relationship Id="rId5" Type="http://schemas.openxmlformats.org/officeDocument/2006/relationships/customXml" Target="../customXml/item5.xml"/><Relationship Id="rId15" Type="http://schemas.openxmlformats.org/officeDocument/2006/relationships/hyperlink" Target="http://www.eurocontrol.int/sites/default/files/publication/files/20120220-ca-guid-v3.0.pdf" TargetMode="External"/><Relationship Id="rId10" Type="http://schemas.openxmlformats.org/officeDocument/2006/relationships/webSettings" Target="webSettings.xml"/><Relationship Id="rId19" Type="http://schemas.openxmlformats.org/officeDocument/2006/relationships/hyperlink" Target="http://www.eurocontrol.int/sites/default/files/publication/files/20120220-ca-guid-v3.0.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urocontrol.int/articles/conformity-assessmen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c3cc9a8-8f57-4120-b328-d0d493cd06c1">PRMFCHDW5F4D-1941341171-352</_dlc_DocId>
    <_dlc_DocIdUrl xmlns="cc3cc9a8-8f57-4120-b328-d0d493cd06c1">
      <Url>https://projektek2013/PWA/Debrecen/_layouts/15/DocIdRedir.aspx?ID=PRMFCHDW5F4D-1941341171-352</Url>
      <Description>PRMFCHDW5F4D-1941341171-352</Description>
    </_dlc_DocIdUrl>
    <Végleges_x0020_dokumentum xmlns="cc3cc9a8-8f57-4120-b328-d0d493cd06c1">false</Végleges_x0020_dokumentum>
    <Dokumentum_x0020_típusa xmlns="cc3cc9a8-8f57-4120-b328-d0d493cd06c1" xsi:nil="true"/>
    <Szervezet xmlns="cc3cc9a8-8f57-4120-b328-d0d493cd06c1">SPMO</Szervezet>
  </documentManagement>
</p:properties>
</file>

<file path=customXml/item4.xml><?xml version="1.0" encoding="utf-8"?>
<ct:contentTypeSchema xmlns:ct="http://schemas.microsoft.com/office/2006/metadata/contentType" xmlns:ma="http://schemas.microsoft.com/office/2006/metadata/properties/metaAttributes" ct:_="" ma:_="" ma:contentTypeName="Dokumentum" ma:contentTypeID="0x010100F00CF6264559F94892E7454FE2F5BC9C" ma:contentTypeVersion="0" ma:contentTypeDescription="Új dokumentum létrehozása." ma:contentTypeScope="" ma:versionID="e96b22eae256d971753098fcd4bc802b">
  <xsd:schema xmlns:xsd="http://www.w3.org/2001/XMLSchema" xmlns:xs="http://www.w3.org/2001/XMLSchema" xmlns:p="http://schemas.microsoft.com/office/2006/metadata/properties" xmlns:ns2="cc3cc9a8-8f57-4120-b328-d0d493cd06c1" targetNamespace="http://schemas.microsoft.com/office/2006/metadata/properties" ma:root="true" ma:fieldsID="dfe250a80b67910c754033b17c2d4404" ns2:_="">
    <xsd:import namespace="cc3cc9a8-8f57-4120-b328-d0d493cd06c1"/>
    <xsd:element name="properties">
      <xsd:complexType>
        <xsd:sequence>
          <xsd:element name="documentManagement">
            <xsd:complexType>
              <xsd:all>
                <xsd:element ref="ns2:_dlc_DocId" minOccurs="0"/>
                <xsd:element ref="ns2:_dlc_DocIdUrl" minOccurs="0"/>
                <xsd:element ref="ns2:_dlc_DocIdPersistId" minOccurs="0"/>
                <xsd:element ref="ns2:Dokumentum_x0020_típusa" minOccurs="0"/>
                <xsd:element ref="ns2:Végleges_x0020_dokumentum" minOccurs="0"/>
                <xsd:element ref="ns2:Szervez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3cc9a8-8f57-4120-b328-d0d493cd06c1" elementFormDefault="qualified">
    <xsd:import namespace="http://schemas.microsoft.com/office/2006/documentManagement/types"/>
    <xsd:import namespace="http://schemas.microsoft.com/office/infopath/2007/PartnerControls"/>
    <xsd:element name="_dlc_DocId" ma:index="8" nillable="true" ma:displayName="Dokumentumazonosító értéke" ma:description="Az elemhez rendelt dokumentumazonosító értéke." ma:internalName="_dlc_DocId" ma:readOnly="true">
      <xsd:simpleType>
        <xsd:restriction base="dms:Text"/>
      </xsd:simpleType>
    </xsd:element>
    <xsd:element name="_dlc_DocIdUrl" ma:index="9" nillable="true" ma:displayName="Dokumentumazonosító" ma:description="Állandó hivatkozás a dokumentumr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kumentum_x0020_típusa" ma:index="11" nillable="true" ma:displayName="Dokumentum típus" ma:format="RadioButtons" ma:internalName="Dokumentum_x0020_t_x00ed_pusa">
      <xsd:simpleType>
        <xsd:restriction base="dms:Choice">
          <xsd:enumeration value="PAD"/>
          <xsd:enumeration value="PAO"/>
          <xsd:enumeration value="PZD"/>
          <xsd:enumeration value="Alapterv jóváhagyó"/>
          <xsd:enumeration value="Háttéranyag"/>
          <xsd:enumeration value="Memo"/>
          <xsd:enumeration value="Projekttermék"/>
          <xsd:enumeration value="Státusz riport"/>
          <xsd:enumeration value="Szerződés"/>
        </xsd:restriction>
      </xsd:simpleType>
    </xsd:element>
    <xsd:element name="Végleges_x0020_dokumentum" ma:index="12" nillable="true" ma:displayName="Végleges dokumentum" ma:default="0" ma:internalName="V_x00e9_gleges_x0020_dokumentum">
      <xsd:simpleType>
        <xsd:restriction base="dms:Boolean"/>
      </xsd:simpleType>
    </xsd:element>
    <xsd:element name="Szervezet" ma:index="13" nillable="true" ma:displayName="Szervezet" ma:default="SPMO" ma:format="Dropdown" ma:internalName="Szervezet">
      <xsd:simpleType>
        <xsd:restriction base="dms:Choice">
          <xsd:enumeration value="SPMO"/>
          <xsd:enumeration value="ATFI"/>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8BD1E-32C4-40D9-9722-CA71A8F445ED}">
  <ds:schemaRefs>
    <ds:schemaRef ds:uri="http://schemas.microsoft.com/sharepoint/events"/>
  </ds:schemaRefs>
</ds:datastoreItem>
</file>

<file path=customXml/itemProps2.xml><?xml version="1.0" encoding="utf-8"?>
<ds:datastoreItem xmlns:ds="http://schemas.openxmlformats.org/officeDocument/2006/customXml" ds:itemID="{51C9BA4F-1F67-44E5-A73E-7A20F1F3CB93}">
  <ds:schemaRefs>
    <ds:schemaRef ds:uri="http://schemas.microsoft.com/sharepoint/v3/contenttype/forms"/>
  </ds:schemaRefs>
</ds:datastoreItem>
</file>

<file path=customXml/itemProps3.xml><?xml version="1.0" encoding="utf-8"?>
<ds:datastoreItem xmlns:ds="http://schemas.openxmlformats.org/officeDocument/2006/customXml" ds:itemID="{9DEBD2C1-7A85-406E-A13A-56310DCCB199}">
  <ds:schemaRefs>
    <ds:schemaRef ds:uri="http://schemas.microsoft.com/office/2006/metadata/properties"/>
    <ds:schemaRef ds:uri="http://schemas.microsoft.com/office/infopath/2007/PartnerControls"/>
    <ds:schemaRef ds:uri="f0f6d09b-4201-43d1-a689-ce7200ca3b89"/>
  </ds:schemaRefs>
</ds:datastoreItem>
</file>

<file path=customXml/itemProps4.xml><?xml version="1.0" encoding="utf-8"?>
<ds:datastoreItem xmlns:ds="http://schemas.openxmlformats.org/officeDocument/2006/customXml" ds:itemID="{044C96E9-20B6-4B55-8A90-4FEC5C26E2C2}"/>
</file>

<file path=customXml/itemProps5.xml><?xml version="1.0" encoding="utf-8"?>
<ds:datastoreItem xmlns:ds="http://schemas.openxmlformats.org/officeDocument/2006/customXml" ds:itemID="{4F862218-29FC-4338-8E89-607B48789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6</Pages>
  <Words>1816</Words>
  <Characters>12537</Characters>
  <Application>Microsoft Office Word</Application>
  <DocSecurity>0</DocSecurity>
  <Lines>104</Lines>
  <Paragraphs>28</Paragraphs>
  <ScaleCrop>false</ScaleCrop>
  <HeadingPairs>
    <vt:vector size="2" baseType="variant">
      <vt:variant>
        <vt:lpstr>Cím</vt:lpstr>
      </vt:variant>
      <vt:variant>
        <vt:i4>1</vt:i4>
      </vt:variant>
    </vt:vector>
  </HeadingPairs>
  <TitlesOfParts>
    <vt:vector size="1" baseType="lpstr">
      <vt:lpstr/>
    </vt:vector>
  </TitlesOfParts>
  <Company>HC</Company>
  <LinksUpToDate>false</LinksUpToDate>
  <CharactersWithSpaces>14325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Porcsin Tamás</dc:creator>
  <cp:lastModifiedBy>Brunecker Károly</cp:lastModifiedBy>
  <cp:revision>47</cp:revision>
  <dcterms:created xsi:type="dcterms:W3CDTF">2013-11-24T17:55:00Z</dcterms:created>
  <dcterms:modified xsi:type="dcterms:W3CDTF">2014-07-20T15:49:00Z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0x010100F00CF6264559F94892E7454FE2F5BC9C</vt:lpwstr>
  </property>
  <property fmtid="{D5CDD505-2E9C-101B-9397-08002B2CF9AE}" pid="3" name="_dlc_DocIdItemGuid">
    <vt:lpwstr>15cfda7a-c3fe-4c07-94a6-bc9cad0c1caf</vt:lpwstr>
  </property>
</Properties>
</file>